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F9" w:rsidRDefault="005E4AF9" w:rsidP="007E6F1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_Toc133672646"/>
      <w:r>
        <w:rPr>
          <w:rFonts w:ascii="Times New Roman" w:eastAsia="Times New Roman" w:hAnsi="Times New Roman" w:cs="Times New Roman"/>
          <w:b/>
          <w:bCs/>
          <w:sz w:val="27"/>
          <w:szCs w:val="27"/>
          <w:lang w:eastAsia="fr-FR"/>
        </w:rPr>
        <w:t xml:space="preserve">Monsieur Carlens, </w:t>
      </w:r>
    </w:p>
    <w:p w:rsidR="005E4AF9" w:rsidRDefault="005E4AF9" w:rsidP="007E6F1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Nous accusons bonne réception de votre demande et vous adressons un récapitulatif de la législation et principalement de l’article L1123-15 du Code de la démocratie locale et de la décentralisation (source : UVCW), de stricte application à</w:t>
      </w:r>
      <w:r w:rsidR="001818FF">
        <w:rPr>
          <w:rFonts w:ascii="Times New Roman" w:eastAsia="Times New Roman" w:hAnsi="Times New Roman" w:cs="Times New Roman"/>
          <w:b/>
          <w:bCs/>
          <w:sz w:val="27"/>
          <w:szCs w:val="27"/>
          <w:lang w:eastAsia="fr-FR"/>
        </w:rPr>
        <w:t xml:space="preserve"> la commune de</w:t>
      </w:r>
      <w:r>
        <w:rPr>
          <w:rFonts w:ascii="Times New Roman" w:eastAsia="Times New Roman" w:hAnsi="Times New Roman" w:cs="Times New Roman"/>
          <w:b/>
          <w:bCs/>
          <w:sz w:val="27"/>
          <w:szCs w:val="27"/>
          <w:lang w:eastAsia="fr-FR"/>
        </w:rPr>
        <w:t xml:space="preserve"> Remicourt</w:t>
      </w:r>
      <w:r w:rsidR="00DA0BC1">
        <w:rPr>
          <w:rFonts w:ascii="Times New Roman" w:eastAsia="Times New Roman" w:hAnsi="Times New Roman" w:cs="Times New Roman"/>
          <w:b/>
          <w:bCs/>
          <w:sz w:val="27"/>
          <w:szCs w:val="27"/>
          <w:lang w:eastAsia="fr-FR"/>
        </w:rPr>
        <w:t xml:space="preserve"> en matière de rémunération des élus.</w:t>
      </w:r>
    </w:p>
    <w:p w:rsidR="007E6F15" w:rsidRPr="007E6F15" w:rsidRDefault="007E6F15" w:rsidP="007E6F1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E6F15">
        <w:rPr>
          <w:rFonts w:ascii="Times New Roman" w:eastAsia="Times New Roman" w:hAnsi="Times New Roman" w:cs="Times New Roman"/>
          <w:b/>
          <w:bCs/>
          <w:sz w:val="27"/>
          <w:szCs w:val="27"/>
          <w:lang w:eastAsia="fr-FR"/>
        </w:rPr>
        <w:t>1. Les principes de fixation</w:t>
      </w:r>
      <w:bookmarkEnd w:id="0"/>
    </w:p>
    <w:p w:rsidR="007E6F15" w:rsidRPr="007E6F15" w:rsidRDefault="007E6F15" w:rsidP="007E6F15">
      <w:pPr>
        <w:spacing w:before="100" w:beforeAutospacing="1" w:after="100" w:afterAutospacing="1" w:line="240" w:lineRule="auto"/>
        <w:rPr>
          <w:rFonts w:ascii="Times New Roman" w:eastAsia="Times New Roman" w:hAnsi="Times New Roman" w:cs="Times New Roman"/>
          <w:sz w:val="24"/>
          <w:szCs w:val="24"/>
          <w:lang w:eastAsia="fr-FR"/>
        </w:rPr>
      </w:pPr>
      <w:r w:rsidRPr="007E6F15">
        <w:rPr>
          <w:rFonts w:ascii="Times New Roman" w:eastAsia="Times New Roman" w:hAnsi="Times New Roman" w:cs="Times New Roman"/>
          <w:sz w:val="24"/>
          <w:szCs w:val="24"/>
          <w:lang w:eastAsia="fr-FR"/>
        </w:rPr>
        <w:t>A. Le traitement sensu stricto</w:t>
      </w:r>
    </w:p>
    <w:p w:rsidR="007E6F15" w:rsidRPr="007E6F15" w:rsidRDefault="007E6F15" w:rsidP="007E6F15">
      <w:pPr>
        <w:spacing w:before="100" w:beforeAutospacing="1" w:after="100" w:afterAutospacing="1" w:line="240" w:lineRule="auto"/>
        <w:rPr>
          <w:rFonts w:ascii="Times New Roman" w:eastAsia="Times New Roman" w:hAnsi="Times New Roman" w:cs="Times New Roman"/>
          <w:sz w:val="24"/>
          <w:szCs w:val="24"/>
          <w:lang w:eastAsia="fr-FR"/>
        </w:rPr>
      </w:pPr>
      <w:r w:rsidRPr="007E6F15">
        <w:rPr>
          <w:rFonts w:ascii="Times New Roman" w:eastAsia="Times New Roman" w:hAnsi="Times New Roman" w:cs="Times New Roman"/>
          <w:sz w:val="24"/>
          <w:szCs w:val="24"/>
          <w:lang w:eastAsia="fr-FR"/>
        </w:rPr>
        <w:t>Le traitement des bourgmestres et échevins est fixé par le législateur wallon. Jusqu'au 1er juillet 2009, il était fonction d'un pourcentage de l'échelon maximal de l'échelle de traitement du secrétaire communal (devenu entre-temps directeur général) de la commune correspondante ; il est désormais défini sans référence à celui des directeurs généraux, ce qui permet dorénavant une évolution indépendante de l'un et de l'autre</w:t>
      </w:r>
      <w:bookmarkStart w:id="1" w:name="_ftnref1"/>
      <w:r w:rsidRPr="007E6F15">
        <w:rPr>
          <w:rFonts w:ascii="Times New Roman" w:eastAsia="Times New Roman" w:hAnsi="Times New Roman" w:cs="Times New Roman"/>
          <w:sz w:val="24"/>
          <w:szCs w:val="24"/>
          <w:lang w:eastAsia="fr-FR"/>
        </w:rPr>
        <w:fldChar w:fldCharType="begin"/>
      </w:r>
      <w:r w:rsidRPr="007E6F15">
        <w:rPr>
          <w:rFonts w:ascii="Times New Roman" w:eastAsia="Times New Roman" w:hAnsi="Times New Roman" w:cs="Times New Roman"/>
          <w:sz w:val="24"/>
          <w:szCs w:val="24"/>
          <w:lang w:eastAsia="fr-FR"/>
        </w:rPr>
        <w:instrText xml:space="preserve"> HYPERLINK "file:///C:\\Users\\nde\\Desktop\\FOCUS%20POUR%20NDE\\FOCUS%20SUR%20LA%20COMMUNE%20mise%20%C3%A0%20jour%202018\\A4FONCTIONNEMENT%20DE%20LA%20COMMUNE%20STATUT%20MANDATAIRE\\Fiche%201%20-%202146%20-%20Statut%20mand%20TRAITEMENT%202018.docx" \l "_ftn1" </w:instrText>
      </w:r>
      <w:r w:rsidRPr="007E6F15">
        <w:rPr>
          <w:rFonts w:ascii="Times New Roman" w:eastAsia="Times New Roman" w:hAnsi="Times New Roman" w:cs="Times New Roman"/>
          <w:sz w:val="24"/>
          <w:szCs w:val="24"/>
          <w:lang w:eastAsia="fr-FR"/>
        </w:rPr>
        <w:fldChar w:fldCharType="separate"/>
      </w:r>
      <w:r w:rsidRPr="007E6F15">
        <w:rPr>
          <w:rFonts w:ascii="Times New Roman" w:eastAsia="Times New Roman" w:hAnsi="Times New Roman" w:cs="Times New Roman"/>
          <w:color w:val="0000FF"/>
          <w:sz w:val="24"/>
          <w:szCs w:val="24"/>
          <w:u w:val="single"/>
          <w:lang w:eastAsia="fr-FR"/>
        </w:rPr>
        <w:t>[1]</w:t>
      </w:r>
      <w:r w:rsidRPr="007E6F15">
        <w:rPr>
          <w:rFonts w:ascii="Times New Roman" w:eastAsia="Times New Roman" w:hAnsi="Times New Roman" w:cs="Times New Roman"/>
          <w:sz w:val="24"/>
          <w:szCs w:val="24"/>
          <w:lang w:eastAsia="fr-FR"/>
        </w:rPr>
        <w:fldChar w:fldCharType="end"/>
      </w:r>
      <w:bookmarkEnd w:id="1"/>
      <w:r w:rsidRPr="007E6F15">
        <w:rPr>
          <w:rFonts w:ascii="Times New Roman" w:eastAsia="Times New Roman" w:hAnsi="Times New Roman" w:cs="Times New Roman"/>
          <w:sz w:val="24"/>
          <w:szCs w:val="24"/>
          <w:lang w:eastAsia="fr-FR"/>
        </w:rPr>
        <w:t>. C'est l'article L1123-15 du Code de la démocratie locale et de la décentralisation qui précise le montant (inchangé dans le cadre du décret de 2009) des traitements des mandataires locaux</w:t>
      </w:r>
      <w:bookmarkStart w:id="2" w:name="_ftnref2"/>
      <w:r w:rsidRPr="007E6F15">
        <w:rPr>
          <w:rFonts w:ascii="Times New Roman" w:eastAsia="Times New Roman" w:hAnsi="Times New Roman" w:cs="Times New Roman"/>
          <w:sz w:val="24"/>
          <w:szCs w:val="24"/>
          <w:lang w:eastAsia="fr-FR"/>
        </w:rPr>
        <w:fldChar w:fldCharType="begin"/>
      </w:r>
      <w:r w:rsidRPr="007E6F15">
        <w:rPr>
          <w:rFonts w:ascii="Times New Roman" w:eastAsia="Times New Roman" w:hAnsi="Times New Roman" w:cs="Times New Roman"/>
          <w:sz w:val="24"/>
          <w:szCs w:val="24"/>
          <w:lang w:eastAsia="fr-FR"/>
        </w:rPr>
        <w:instrText xml:space="preserve"> HYPERLINK "file:///C:\\Users\\nde\\Desktop\\FOCUS%20POUR%20NDE\\FOCUS%20SUR%20LA%20COMMUNE%20mise%20%C3%A0%20jour%202018\\A4FONCTIONNEMENT%20DE%20LA%20COMMUNE%20STATUT%20MANDATAIRE\\Fiche%201%20-%202146%20-%20Statut%20mand%20TRAITEMENT%202018.docx" \l "_ftn2" </w:instrText>
      </w:r>
      <w:r w:rsidRPr="007E6F15">
        <w:rPr>
          <w:rFonts w:ascii="Times New Roman" w:eastAsia="Times New Roman" w:hAnsi="Times New Roman" w:cs="Times New Roman"/>
          <w:sz w:val="24"/>
          <w:szCs w:val="24"/>
          <w:lang w:eastAsia="fr-FR"/>
        </w:rPr>
        <w:fldChar w:fldCharType="separate"/>
      </w:r>
      <w:r w:rsidRPr="007E6F15">
        <w:rPr>
          <w:rFonts w:ascii="Times New Roman" w:eastAsia="Times New Roman" w:hAnsi="Times New Roman" w:cs="Times New Roman"/>
          <w:color w:val="0000FF"/>
          <w:sz w:val="24"/>
          <w:szCs w:val="24"/>
          <w:u w:val="single"/>
          <w:lang w:eastAsia="fr-FR"/>
        </w:rPr>
        <w:t>[2]</w:t>
      </w:r>
      <w:r w:rsidRPr="007E6F15">
        <w:rPr>
          <w:rFonts w:ascii="Times New Roman" w:eastAsia="Times New Roman" w:hAnsi="Times New Roman" w:cs="Times New Roman"/>
          <w:sz w:val="24"/>
          <w:szCs w:val="24"/>
          <w:lang w:eastAsia="fr-FR"/>
        </w:rPr>
        <w:fldChar w:fldCharType="end"/>
      </w:r>
      <w:bookmarkEnd w:id="2"/>
      <w:r w:rsidRPr="007E6F15">
        <w:rPr>
          <w:rFonts w:ascii="Times New Roman" w:eastAsia="Times New Roman" w:hAnsi="Times New Roman" w:cs="Times New Roman"/>
          <w:sz w:val="24"/>
          <w:szCs w:val="24"/>
          <w:lang w:eastAsia="fr-FR"/>
        </w:rPr>
        <w:t>.</w:t>
      </w:r>
    </w:p>
    <w:p w:rsidR="00837F61" w:rsidRDefault="00837F61" w:rsidP="007E6F15">
      <w:r w:rsidRPr="007E6F15">
        <w:t xml:space="preserve"> </w:t>
      </w:r>
      <w:r w:rsidR="007E6F15">
        <w:t xml:space="preserve">Suivant le chiffre de la population, le Code de la démocratie locale et de la décentralisation fixe, pour les </w:t>
      </w:r>
      <w:r w:rsidR="007E6F15">
        <w:rPr>
          <w:rStyle w:val="Accentuation"/>
          <w:b/>
          <w:bCs/>
        </w:rPr>
        <w:t>bourgmestres</w:t>
      </w:r>
      <w:r w:rsidR="007E6F15">
        <w:t>, le niveau de traitement suivant :</w:t>
      </w:r>
    </w:p>
    <w:p w:rsidR="007E6F15" w:rsidRDefault="007E6F15" w:rsidP="007E6F15">
      <w:r>
        <w:t>5.001 à 6.000 habitants</w:t>
      </w:r>
      <w:r>
        <w:t xml:space="preserve"> :  </w:t>
      </w:r>
      <w:r>
        <w:t>28.100,02 euros</w:t>
      </w:r>
      <w:r w:rsidR="003043E9">
        <w:t xml:space="preserve">  </w:t>
      </w:r>
      <w:r w:rsidR="00655743">
        <w:t>(chiffres</w:t>
      </w:r>
      <w:r w:rsidR="003043E9">
        <w:t xml:space="preserve"> de population de ce 16/01/2019 à Remicourt : 5848 habitants.</w:t>
      </w:r>
    </w:p>
    <w:p w:rsidR="001305F5" w:rsidRDefault="001305F5" w:rsidP="001305F5">
      <w:pPr>
        <w:pStyle w:val="NormalWeb"/>
      </w:pPr>
      <w:r>
        <w:t>Il s'agit de montants annuels bruts, non indexés</w:t>
      </w:r>
      <w:bookmarkStart w:id="3" w:name="_ftnref4"/>
      <w:r>
        <w:fldChar w:fldCharType="begin"/>
      </w:r>
      <w:r>
        <w:instrText xml:space="preserve"> HYPERLINK "file:///C:\\Users\\nde\\Desktop\\FOCUS%20POUR%20NDE\\FOCUS%20SUR%20LA%20COMMUNE%20mise%20%C3%A0%20jour%202018\\A4FONCTIONNEMENT%20DE%20LA%20COMMUNE%20STATUT%20MANDATAIRE\\Fiche%201%20-%202146%20-%20Statut%20mand%20TRAITEMENT%202018.docx" \l "_ftn4" </w:instrText>
      </w:r>
      <w:r>
        <w:fldChar w:fldCharType="separate"/>
      </w:r>
      <w:r>
        <w:rPr>
          <w:rStyle w:val="Lienhypertexte"/>
        </w:rPr>
        <w:t>[4]</w:t>
      </w:r>
      <w:r>
        <w:fldChar w:fldCharType="end"/>
      </w:r>
      <w:bookmarkEnd w:id="3"/>
      <w:r>
        <w:t>.</w:t>
      </w:r>
    </w:p>
    <w:p w:rsidR="001305F5" w:rsidRDefault="001305F5" w:rsidP="001305F5">
      <w:pPr>
        <w:pStyle w:val="NormalWeb"/>
      </w:pPr>
      <w:r>
        <w:t xml:space="preserve">Le traitement des </w:t>
      </w:r>
      <w:r>
        <w:rPr>
          <w:rStyle w:val="Accentuation"/>
          <w:b/>
          <w:bCs/>
        </w:rPr>
        <w:t>échevins</w:t>
      </w:r>
      <w:r>
        <w:t xml:space="preserve"> est fixé à 60 % de celui du bourgmestre de la commune correspondante dans les communes dont la population est inférieure ou égale à 50.000 habitants et à 75 % dans les communes dont la population est supérieure à 50.000 habitants.</w:t>
      </w:r>
    </w:p>
    <w:p w:rsidR="001305F5" w:rsidRDefault="001305F5" w:rsidP="001305F5">
      <w:pPr>
        <w:pStyle w:val="NormalWeb"/>
      </w:pPr>
      <w:r>
        <w:t>B. Les autres avantages</w:t>
      </w:r>
    </w:p>
    <w:p w:rsidR="001305F5" w:rsidRDefault="001305F5" w:rsidP="001305F5">
      <w:pPr>
        <w:pStyle w:val="NormalWeb"/>
      </w:pPr>
      <w:r>
        <w:t xml:space="preserve">1.  Les bourgmestres et échevins ont droit à un </w:t>
      </w:r>
      <w:r>
        <w:rPr>
          <w:rStyle w:val="Accentuation"/>
          <w:b/>
          <w:bCs/>
        </w:rPr>
        <w:t>pécule de vacances et à une prime de fin d'année</w:t>
      </w:r>
      <w:r>
        <w:t xml:space="preserve"> (</w:t>
      </w:r>
      <w:bookmarkStart w:id="4" w:name="Définition_du_terme_«_CDLD_»"/>
      <w:proofErr w:type="spellStart"/>
      <w:r>
        <w:fldChar w:fldCharType="begin"/>
      </w:r>
      <w:r>
        <w:instrText xml:space="preserve"> HYPERLINK "http://www.uvcw.be/javascript/jquery-tooltip/ajax.cfm?width=425&amp;idAcronyme=32" </w:instrText>
      </w:r>
      <w:r>
        <w:fldChar w:fldCharType="separate"/>
      </w:r>
      <w:proofErr w:type="spellEnd"/>
      <w:r>
        <w:rPr>
          <w:rStyle w:val="Lienhypertexte"/>
        </w:rPr>
        <w:t>CDLD</w:t>
      </w:r>
      <w:r>
        <w:fldChar w:fldCharType="end"/>
      </w:r>
      <w:bookmarkEnd w:id="4"/>
      <w:r>
        <w:t>, art. L1123-15).</w:t>
      </w:r>
    </w:p>
    <w:p w:rsidR="001305F5" w:rsidRDefault="001305F5" w:rsidP="001305F5">
      <w:pPr>
        <w:pStyle w:val="NormalWeb"/>
      </w:pPr>
      <w:r>
        <w:t>     Les modalités d'octroi du pécule et de la prime sont définies dans l'arrêté royal du 16 novembre 2000 (</w:t>
      </w:r>
      <w:r>
        <w:rPr>
          <w:rStyle w:val="Accentuation"/>
        </w:rPr>
        <w:t>M.B.</w:t>
      </w:r>
      <w:r>
        <w:t>, 30.11.2000), lequel renvoie aux arrêtés royaux des 30 janvier et 23 octobre 1979</w:t>
      </w:r>
      <w:bookmarkStart w:id="5" w:name="_ftnref5"/>
      <w:r>
        <w:fldChar w:fldCharType="begin"/>
      </w:r>
      <w:r>
        <w:instrText xml:space="preserve"> HYPERLINK "file:///C:\\Users\\nde\\Desktop\\FOCUS%20POUR%20NDE\\FOCUS%20SUR%20LA%20COMMUNE%20mise%20%C3%A0%20jour%202018\\A4FONCTIONNEMENT%20DE%20LA%20COMMUNE%20STATUT%20MANDATAIRE\\Fiche%201%20-%202146%20-%20Statut%20mand%20TRAITEMENT%202018.docx" \l "_ftn5" </w:instrText>
      </w:r>
      <w:r>
        <w:fldChar w:fldCharType="separate"/>
      </w:r>
      <w:r>
        <w:rPr>
          <w:rStyle w:val="Lienhypertexte"/>
        </w:rPr>
        <w:t>[5]</w:t>
      </w:r>
      <w:r>
        <w:fldChar w:fldCharType="end"/>
      </w:r>
      <w:bookmarkEnd w:id="5"/>
      <w:r>
        <w:t>.</w:t>
      </w:r>
    </w:p>
    <w:p w:rsidR="001305F5" w:rsidRDefault="001305F5" w:rsidP="001305F5">
      <w:pPr>
        <w:pStyle w:val="NormalWeb"/>
      </w:pPr>
      <w:r>
        <w:t>     Suite à l’abrogation de l’arrêté royal du 30 janvier 1979 par l’arrêté royal du 13 juillet 2017, les autorités locales sont confrontées à un vide juridique auquel il convenait de remédier.</w:t>
      </w:r>
    </w:p>
    <w:p w:rsidR="001305F5" w:rsidRDefault="001305F5" w:rsidP="001305F5">
      <w:pPr>
        <w:pStyle w:val="NormalWeb"/>
      </w:pPr>
      <w:r>
        <w:t>     Au moment d’écrire ces lignes, un arrêté du Gouvernement wallon était en préparation pour permettre de redéfinir une base réglementaire pour l’octroi d’un pécule de vacances aux mandataires exécutifs locaux. Dans l’attente de l’adoption de ce futur texte</w:t>
      </w:r>
      <w:bookmarkStart w:id="6" w:name="_ftnref6"/>
      <w:r>
        <w:fldChar w:fldCharType="begin"/>
      </w:r>
      <w:r>
        <w:instrText xml:space="preserve"> HYPERLINK "file:///C:\\Users\\nde\\Desktop\\FOCUS%20POUR%20NDE\\FOCUS%20SUR%20LA%20COMMUNE%20mise%20%C3%A0%20jour%202018\\A4FONCTIONNEMENT%20DE%20LA%20COMMUNE%20STATUT%20MANDATAIRE\\Fiche%201%20-%202146%20-%20Statut%20mand%20TRAITEMENT%202018.docx" \l "_ftn6" </w:instrText>
      </w:r>
      <w:r>
        <w:fldChar w:fldCharType="separate"/>
      </w:r>
      <w:r>
        <w:rPr>
          <w:rStyle w:val="Lienhypertexte"/>
        </w:rPr>
        <w:t>[6]</w:t>
      </w:r>
      <w:r>
        <w:fldChar w:fldCharType="end"/>
      </w:r>
      <w:bookmarkEnd w:id="6"/>
      <w:r>
        <w:t>, nous reprenons ci-dessous les principes qui étaient d’application jusqu’ici (en vertu des arrêtés de 1979) et dont le futur texte wallon ne devrait pas fondamentalement s’éloigner.</w:t>
      </w:r>
    </w:p>
    <w:p w:rsidR="001305F5" w:rsidRDefault="001305F5" w:rsidP="001305F5">
      <w:pPr>
        <w:pStyle w:val="NormalWeb"/>
      </w:pPr>
      <w:r>
        <w:t>     Il résulte des textes précités que, depuis 2009, le montant du pécule de vacances des mandataires locaux doit être situé dans une fourchette entre 65 et 92 % du douzième du traitement annuel, par opposition à l'ancien mode de calcul qui comportait une partie forfaitaire et une partie variable</w:t>
      </w:r>
      <w:bookmarkStart w:id="7" w:name="_ftnref7"/>
      <w:r>
        <w:fldChar w:fldCharType="begin"/>
      </w:r>
      <w:r>
        <w:instrText xml:space="preserve"> HYPERLINK "file:///C:\\Users\\nde\\Desktop\\FOCUS%20POUR%20NDE\\FOCUS%20SUR%20LA%20COMMUNE%20mise%20%C3%A0%20jour%202018\\A4FONCTIONNEMENT%20DE%20LA%20COMMUNE%20STATUT%20MANDATAIRE\\Fiche%201%20-%202146%20-%20Statut%20mand%20TRAITEMENT%202018.docx" \l "_ftn7" </w:instrText>
      </w:r>
      <w:r>
        <w:fldChar w:fldCharType="separate"/>
      </w:r>
      <w:r>
        <w:rPr>
          <w:rStyle w:val="lev"/>
          <w:i/>
          <w:iCs/>
          <w:color w:val="0000FF"/>
          <w:u w:val="single"/>
        </w:rPr>
        <w:t>[7]</w:t>
      </w:r>
      <w:r>
        <w:fldChar w:fldCharType="end"/>
      </w:r>
      <w:bookmarkEnd w:id="7"/>
      <w:r>
        <w:t>.</w:t>
      </w:r>
    </w:p>
    <w:p w:rsidR="001305F5" w:rsidRDefault="001305F5" w:rsidP="001305F5">
      <w:pPr>
        <w:pStyle w:val="NormalWeb"/>
      </w:pPr>
      <w:r>
        <w:t>Le montant de l'allocation de fin d'année 2017 a été fixé par une circulaire du 23 novembre 2017 prévoyant une partie forfaitaire de 374,16 euros et une partie variable s’élevant à 2,5 % de la rétribution annuelle</w:t>
      </w:r>
      <w:bookmarkStart w:id="8" w:name="_ftnref8"/>
      <w:r>
        <w:fldChar w:fldCharType="begin"/>
      </w:r>
      <w:r>
        <w:instrText xml:space="preserve"> HYPERLINK "file:///C:\\Users\\nde\\Desktop\\FOCUS%20POUR%20NDE\\FOCUS%20SUR%20LA%20COMMUNE%20mise%20%C3%A0%20jour%202018\\A4FONCTIONNEMENT%20DE%20LA%20COMMUNE%20STATUT%20MANDATAIRE\\Fiche%201%20-%202146%20-%20Statut%20mand%20TRAITEMENT%202018.docx" \l "_ftn8" </w:instrText>
      </w:r>
      <w:r>
        <w:fldChar w:fldCharType="separate"/>
      </w:r>
      <w:r>
        <w:rPr>
          <w:rStyle w:val="Lienhypertexte"/>
        </w:rPr>
        <w:t>[8]</w:t>
      </w:r>
      <w:r>
        <w:fldChar w:fldCharType="end"/>
      </w:r>
      <w:bookmarkEnd w:id="8"/>
      <w:r>
        <w:t>.</w:t>
      </w:r>
    </w:p>
    <w:p w:rsidR="001305F5" w:rsidRDefault="001305F5" w:rsidP="001305F5">
      <w:pPr>
        <w:pStyle w:val="NormalWeb"/>
      </w:pPr>
      <w:r>
        <w:t xml:space="preserve">     Si le mandataire local exerce, outre son mandat, une autre activité professionnelle, se pose la question du </w:t>
      </w:r>
      <w:r>
        <w:rPr>
          <w:rStyle w:val="Accentuation"/>
          <w:b/>
          <w:bCs/>
        </w:rPr>
        <w:t>cumul des pécules de vacances entre eux et d'allocations de fin d'année entre elles</w:t>
      </w:r>
      <w:r>
        <w:t>. Ces cumuls sont réglés différemment selon le secteur dans lequel est occupé le mandataire.</w:t>
      </w:r>
    </w:p>
    <w:p w:rsidR="001305F5" w:rsidRDefault="001305F5" w:rsidP="001305F5">
      <w:pPr>
        <w:pStyle w:val="NormalWeb"/>
      </w:pPr>
      <w:r>
        <w:t xml:space="preserve">     Si le mandataire exerce une </w:t>
      </w:r>
      <w:r>
        <w:rPr>
          <w:rStyle w:val="Accentuation"/>
          <w:b/>
          <w:bCs/>
        </w:rPr>
        <w:t>profession d'indépendant</w:t>
      </w:r>
      <w:r>
        <w:t>, il ne perçoit pas de pécule de vacances ou d'allocation de fin d'année du chef de cette activité ; la commune doit donc lui verser l'intégralité du pécule de vacances et de l'allocation de fin d'année attachés à son mandat.</w:t>
      </w:r>
    </w:p>
    <w:p w:rsidR="001305F5" w:rsidRDefault="001305F5" w:rsidP="001305F5">
      <w:pPr>
        <w:pStyle w:val="NormalWeb"/>
      </w:pPr>
      <w:r>
        <w:t>Si le mandataire est employé dans</w:t>
      </w:r>
      <w:r>
        <w:rPr>
          <w:rStyle w:val="Accentuation"/>
          <w:b/>
          <w:bCs/>
        </w:rPr>
        <w:t xml:space="preserve"> le secteur public et bénéficie d’un pécule sur base du régime de vacances public</w:t>
      </w:r>
      <w:r>
        <w:t>, il ne peut cumuler les pécules de vacances au-delà du montant correspondant au pécule le plus élevé, sur base d'un temps plein (A.R. 30.1.1979, art. 9). La même règle s'applique pour le cumul des allocations de fin d'année (A.R. 23.10.1979, art. 4bis).</w:t>
      </w:r>
    </w:p>
    <w:p w:rsidR="001305F5" w:rsidRDefault="001305F5" w:rsidP="001305F5">
      <w:pPr>
        <w:pStyle w:val="NormalWeb"/>
      </w:pPr>
      <w:r>
        <w:t>En cas de dépassement de ce plafond, une réduction devra être effectuée. Celle-ci devra être opérée, selon le cas, sur le moins élevé des pécules et/ou sur l'allocation de fin d'année la moins élevée</w:t>
      </w:r>
      <w:bookmarkStart w:id="9" w:name="_ftnref9"/>
      <w:r>
        <w:fldChar w:fldCharType="begin"/>
      </w:r>
      <w:r>
        <w:instrText xml:space="preserve"> HYPERLINK "file:///C:\\Users\\nde\\Desktop\\FOCUS%20POUR%20NDE\\FOCUS%20SUR%20LA%20COMMUNE%20mise%20%C3%A0%20jour%202018\\A4FONCTIONNEMENT%20DE%20LA%20COMMUNE%20STATUT%20MANDATAIRE\\Fiche%201%20-%202146%20-%20Statut%20mand%20TRAITEMENT%202018.docx" \l "_ftn9" </w:instrText>
      </w:r>
      <w:r>
        <w:fldChar w:fldCharType="separate"/>
      </w:r>
      <w:r>
        <w:rPr>
          <w:rStyle w:val="Lienhypertexte"/>
        </w:rPr>
        <w:t>[9]</w:t>
      </w:r>
      <w:r>
        <w:fldChar w:fldCharType="end"/>
      </w:r>
      <w:bookmarkEnd w:id="9"/>
      <w:r>
        <w:t>.</w:t>
      </w:r>
    </w:p>
    <w:p w:rsidR="001305F5" w:rsidRDefault="001305F5" w:rsidP="001305F5">
      <w:pPr>
        <w:pStyle w:val="NormalWeb"/>
      </w:pPr>
      <w:r>
        <w:rPr>
          <w:rStyle w:val="Accentuation"/>
        </w:rPr>
        <w:t xml:space="preserve">Exemple </w:t>
      </w:r>
      <w:r>
        <w:t xml:space="preserve">: </w:t>
      </w:r>
      <w:r>
        <w:rPr>
          <w:rStyle w:val="Accentuation"/>
        </w:rPr>
        <w:t xml:space="preserve">un mandataire local est employé à mi-temps dans le secteur public. Le pécule (régime public) qu'il touche en vertu de cette activité est de 1.000 euros. S'il avait été employé à temps plein, il aurait eu droit, disons, à un pécule de 2.000 euros. Son mandat local lui donne droit à un pécule de 1.500 euros. </w:t>
      </w:r>
    </w:p>
    <w:p w:rsidR="001305F5" w:rsidRDefault="001305F5" w:rsidP="001305F5">
      <w:pPr>
        <w:pStyle w:val="NormalWeb"/>
      </w:pPr>
      <w:r>
        <w:rPr>
          <w:rStyle w:val="Accentuation"/>
        </w:rPr>
        <w:t xml:space="preserve">Le plafond théorique à ne pas dépasser est donc de 2.000 euros. </w:t>
      </w:r>
    </w:p>
    <w:p w:rsidR="001305F5" w:rsidRDefault="001305F5" w:rsidP="001305F5">
      <w:pPr>
        <w:pStyle w:val="NormalWeb"/>
      </w:pPr>
      <w:r>
        <w:rPr>
          <w:rStyle w:val="Accentuation"/>
        </w:rPr>
        <w:t xml:space="preserve">Le cumul des différents pécules amène à une somme de 2.500 euros. Il convient donc de réduire cette somme de 500 euros. </w:t>
      </w:r>
    </w:p>
    <w:p w:rsidR="001305F5" w:rsidRDefault="001305F5" w:rsidP="001305F5">
      <w:pPr>
        <w:pStyle w:val="NormalWeb"/>
      </w:pPr>
      <w:r>
        <w:rPr>
          <w:rStyle w:val="Accentuation"/>
        </w:rPr>
        <w:t>C'est le pécule le moins élevé qui doit être réduit, donc le pécule issu de l'exercice de la profession d'employé. L'intéressé touchera un pécule de 1.500 euros pour son activité de mandataire et de 500 euros pour sa profession dans le secteur public.</w:t>
      </w:r>
    </w:p>
    <w:p w:rsidR="001305F5" w:rsidRDefault="001305F5" w:rsidP="001305F5">
      <w:pPr>
        <w:pStyle w:val="NormalWeb"/>
      </w:pPr>
      <w:r>
        <w:t xml:space="preserve">Si le mandataire est employé dans le </w:t>
      </w:r>
      <w:r>
        <w:rPr>
          <w:rStyle w:val="Accentuation"/>
          <w:b/>
          <w:bCs/>
        </w:rPr>
        <w:t>secteur privé ou s’il est employé dans le secteur public et bénéficie d’un pécule sur base du régime privé</w:t>
      </w:r>
      <w:r>
        <w:t>, une distinction s'impose entre le pécule et l'allocation :</w:t>
      </w:r>
    </w:p>
    <w:p w:rsidR="001305F5" w:rsidRDefault="001305F5" w:rsidP="001305F5">
      <w:pPr>
        <w:numPr>
          <w:ilvl w:val="0"/>
          <w:numId w:val="1"/>
        </w:numPr>
        <w:spacing w:before="100" w:beforeAutospacing="1" w:after="100" w:afterAutospacing="1" w:line="240" w:lineRule="auto"/>
      </w:pPr>
      <w:r>
        <w:t>le mandataire a en toute hypothèse droit à l'intégralité de l'allocation de fin d'année attachée à son mandat. Seul le cumul entre allocations du secteur public étant réglementé, le cumul avec une allocation du secteur privé n'est pas sanctionné ;</w:t>
      </w:r>
    </w:p>
    <w:p w:rsidR="001305F5" w:rsidRDefault="001305F5" w:rsidP="001305F5">
      <w:pPr>
        <w:numPr>
          <w:ilvl w:val="0"/>
          <w:numId w:val="2"/>
        </w:numPr>
        <w:spacing w:before="100" w:beforeAutospacing="1" w:after="100" w:afterAutospacing="1" w:line="240" w:lineRule="auto"/>
      </w:pPr>
      <w:r>
        <w:t>par contre, les pécules de vacances ne peuvent être cumulés au-delà d'un certain plafond (A.R. 30.1.1979, art. 9). Ce plafond est constitué par le pécule le plus élevé auquel il pourrait prétendre, sur base d'un temps plein. Il en ira de même si le bénéficiaire du pécule travaille non pas dans le secteur privé, mais dans le secteur public, et se voit appliquer le régime privé de vacances.</w:t>
      </w:r>
    </w:p>
    <w:p w:rsidR="001305F5" w:rsidRDefault="001305F5" w:rsidP="001305F5">
      <w:pPr>
        <w:pStyle w:val="NormalWeb"/>
      </w:pPr>
      <w:r>
        <w:t>Concernant le pécule de vacances, les règles sont donc identiques à celles applicables dans le secteur public (cf. supra). On notera cependant qu'en vertu de l'article 9 de l'arrêté royal du 30 janvier 1979 précité, aucune réduction ne peut être opérée sur le pécule privé : la réduction sera donc opérée au niveau du pécule de mandataire.</w:t>
      </w:r>
    </w:p>
    <w:p w:rsidR="001305F5" w:rsidRDefault="001305F5" w:rsidP="001305F5">
      <w:pPr>
        <w:pStyle w:val="NormalWeb"/>
      </w:pPr>
      <w:r>
        <w:t xml:space="preserve">2.  Les bourgmestres et échevins ont également droit à une </w:t>
      </w:r>
      <w:r>
        <w:rPr>
          <w:rStyle w:val="Accentuation"/>
          <w:b/>
          <w:bCs/>
        </w:rPr>
        <w:t>couverture sociale</w:t>
      </w:r>
      <w:r>
        <w:t xml:space="preserve"> s'ils ne sont pas couverts par le régime de sécurité sociale des travailleurs salariés ou indépendants. Dans ce cas, ils sont soumis partiellement à la sécurité sociale des travailleurs salariés (soins de santé et indemnités, allocations familiales et allocations de chômage)</w:t>
      </w:r>
      <w:bookmarkStart w:id="10" w:name="_ftnref10"/>
      <w:r>
        <w:fldChar w:fldCharType="begin"/>
      </w:r>
      <w:r>
        <w:instrText xml:space="preserve"> HYPERLINK "file:///C:\\Users\\nde\\Desktop\\FOCUS%20POUR%20NDE\\FOCUS%20SUR%20LA%20COMMUNE%20mise%20%C3%A0%20jour%202018\\A4FONCTIONNEMENT%20DE%20LA%20COMMUNE%20STATUT%20MANDATAIRE\\Fiche%201%20-%202146%20-%20Statut%20mand%20TRAITEMENT%202018.docx" \l "_ftn10" </w:instrText>
      </w:r>
      <w:r>
        <w:fldChar w:fldCharType="separate"/>
      </w:r>
      <w:r>
        <w:rPr>
          <w:rStyle w:val="Lienhypertexte"/>
        </w:rPr>
        <w:t>[10]</w:t>
      </w:r>
      <w:r>
        <w:fldChar w:fldCharType="end"/>
      </w:r>
      <w:bookmarkEnd w:id="10"/>
      <w:r>
        <w:t>.</w:t>
      </w:r>
    </w:p>
    <w:p w:rsidR="001305F5" w:rsidRDefault="001305F5" w:rsidP="001305F5">
      <w:pPr>
        <w:pStyle w:val="NormalWeb"/>
      </w:pPr>
      <w:r>
        <w:t xml:space="preserve">     Le traitement, le pécule de vacances, la prime de fin d'année et le régime de sécurité sociale du </w:t>
      </w:r>
      <w:r>
        <w:rPr>
          <w:rStyle w:val="Accentuation"/>
          <w:b/>
          <w:bCs/>
        </w:rPr>
        <w:t>président de CPAS</w:t>
      </w:r>
      <w:r>
        <w:t xml:space="preserve"> sont identiques à ceux des échevins de la commune correspondante</w:t>
      </w:r>
      <w:bookmarkStart w:id="11" w:name="_ftnref11"/>
      <w:r>
        <w:fldChar w:fldCharType="begin"/>
      </w:r>
      <w:r>
        <w:instrText xml:space="preserve"> HYPERLINK "file:///C:\\Users\\nde\\Desktop\\FOCUS%20POUR%20NDE\\FOCUS%20SUR%20LA%20COMMUNE%20mise%20%C3%A0%20jour%202018\\A4FONCTIONNEMENT%20DE%20LA%20COMMUNE%20STATUT%20MANDATAIRE\\Fiche%201%20-%202146%20-%20Statut%20mand%20TRAITEMENT%202018.docx" \l "_ftn11" </w:instrText>
      </w:r>
      <w:r>
        <w:fldChar w:fldCharType="separate"/>
      </w:r>
      <w:r>
        <w:rPr>
          <w:rStyle w:val="Lienhypertexte"/>
        </w:rPr>
        <w:t>[11]</w:t>
      </w:r>
      <w:r>
        <w:fldChar w:fldCharType="end"/>
      </w:r>
      <w:bookmarkEnd w:id="11"/>
      <w:r>
        <w:t>.</w:t>
      </w:r>
    </w:p>
    <w:p w:rsidR="001305F5" w:rsidRDefault="001305F5" w:rsidP="001305F5">
      <w:pPr>
        <w:pStyle w:val="Titre3"/>
      </w:pPr>
      <w:bookmarkStart w:id="12" w:name="_Toc133672647"/>
      <w:r>
        <w:t>2. La rétribution maximale des mandataires locaux</w:t>
      </w:r>
      <w:bookmarkEnd w:id="12"/>
    </w:p>
    <w:p w:rsidR="001305F5" w:rsidRDefault="001305F5" w:rsidP="001305F5">
      <w:pPr>
        <w:pStyle w:val="NormalWeb"/>
      </w:pPr>
      <w:r>
        <w:t>Le Code de la démocratie locale et de la décentralisation plafonne la somme du traitement de bourgmestre ou d'échevin et des jetons, rémunérations et avantages en nature</w:t>
      </w:r>
      <w:bookmarkStart w:id="13" w:name="_ftnref12"/>
      <w:r>
        <w:fldChar w:fldCharType="begin"/>
      </w:r>
      <w:r>
        <w:instrText xml:space="preserve"> HYPERLINK "file:///C:\\Users\\nde\\Desktop\\FOCUS%20POUR%20NDE\\FOCUS%20SUR%20LA%20COMMUNE%20mise%20%C3%A0%20jour%202018\\A4FONCTIONNEMENT%20DE%20LA%20COMMUNE%20STATUT%20MANDATAIRE\\Fiche%201%20-%202146%20-%20Statut%20mand%20TRAITEMENT%202018.docx" \l "_ftn12" </w:instrText>
      </w:r>
      <w:r>
        <w:fldChar w:fldCharType="separate"/>
      </w:r>
      <w:r>
        <w:rPr>
          <w:rStyle w:val="Lienhypertexte"/>
        </w:rPr>
        <w:t>[12]</w:t>
      </w:r>
      <w:r>
        <w:fldChar w:fldCharType="end"/>
      </w:r>
      <w:bookmarkEnd w:id="13"/>
      <w:r>
        <w:t xml:space="preserve"> dont l’intéressé bénéficie en raison des mandats originaires, mandats dérivés et mandats, fonctions et charges publics d’ordre politique à un montant maximum fixé à </w:t>
      </w:r>
      <w:r>
        <w:rPr>
          <w:rStyle w:val="Accentuation"/>
          <w:b/>
          <w:bCs/>
        </w:rPr>
        <w:t>une fois et demie l'indemnité parlementaire</w:t>
      </w:r>
      <w:r>
        <w:t xml:space="preserve"> perçue par les membres de la Chambre des Représentants et du Sénat, soit donc, en 2018 187.185,66 euros bruts (à l'indice 1,6734 applicable à la date de publication du communiqué – 190.929,37 sur base de l’indice 1,7069 applicable à partir du 1.10.2018)</w:t>
      </w:r>
      <w:bookmarkStart w:id="14" w:name="_ftnref13"/>
      <w:r>
        <w:fldChar w:fldCharType="begin"/>
      </w:r>
      <w:r>
        <w:instrText xml:space="preserve"> HYPERLINK "file:///C:\\Users\\nde\\Desktop\\FOCUS%20POUR%20NDE\\FOCUS%20SUR%20LA%20COMMUNE%20mise%20%C3%A0%20jour%202018\\A4FONCTIONNEMENT%20DE%20LA%20COMMUNE%20STATUT%20MANDATAIRE\\Fiche%201%20-%202146%20-%20Statut%20mand%20TRAITEMENT%202018.docx" \l "_ftn13" </w:instrText>
      </w:r>
      <w:r>
        <w:fldChar w:fldCharType="separate"/>
      </w:r>
      <w:r>
        <w:rPr>
          <w:rStyle w:val="Lienhypertexte"/>
        </w:rPr>
        <w:t>[13]</w:t>
      </w:r>
      <w:r>
        <w:fldChar w:fldCharType="end"/>
      </w:r>
      <w:bookmarkEnd w:id="14"/>
      <w:r>
        <w:t>.</w:t>
      </w:r>
    </w:p>
    <w:p w:rsidR="001305F5" w:rsidRDefault="001305F5" w:rsidP="001305F5">
      <w:pPr>
        <w:pStyle w:val="NormalWeb"/>
      </w:pPr>
      <w:r>
        <w:t xml:space="preserve">Un système de contrôle est porté par la partie 5 du CDLD: il est décrit </w:t>
      </w:r>
      <w:r>
        <w:rPr>
          <w:rStyle w:val="Accentuation"/>
        </w:rPr>
        <w:t>infra</w:t>
      </w:r>
      <w:r>
        <w:t>, dès lors qu'il est identique pour les mandataires exécutifs et pour les mandataires non exécutifs (à une différence près: les mandataires exécutifs étant tenus de déclarer les rémunérations issues de l'exercice de leurs mandats dits privés).</w:t>
      </w:r>
    </w:p>
    <w:p w:rsidR="001305F5" w:rsidRDefault="001305F5" w:rsidP="001305F5">
      <w:pPr>
        <w:pStyle w:val="Titre3"/>
      </w:pPr>
      <w:r>
        <w:t> </w:t>
      </w:r>
    </w:p>
    <w:p w:rsidR="001305F5" w:rsidRDefault="001305F5" w:rsidP="001305F5">
      <w:pPr>
        <w:pStyle w:val="Titre3"/>
      </w:pPr>
      <w:r>
        <w:t>3. Le droit au traitement, la renonciation et la demande de compensation</w:t>
      </w:r>
    </w:p>
    <w:p w:rsidR="001305F5" w:rsidRDefault="001305F5" w:rsidP="001305F5">
      <w:pPr>
        <w:pStyle w:val="NormalWeb"/>
      </w:pPr>
      <w:r>
        <w:t>1.  Le traitement des mandataires est une dépense obligatoire, mise à charge de la commune et que le conseil communal est tenu de porter annuellement au budget (CDLD, art. L1321-1).</w:t>
      </w:r>
    </w:p>
    <w:p w:rsidR="001305F5" w:rsidRDefault="001305F5" w:rsidP="001305F5">
      <w:pPr>
        <w:pStyle w:val="NormalWeb"/>
      </w:pPr>
      <w:r>
        <w:t>     Dès lors, le paiement du traitement du bourgmestre ou de l'échevin est un droit qui ne peut lui être enlevé par le conseil communal au motif, par exemple, qu'il n'assiste pas régulièrement aux séances du collège communal. Une telle mesure équivaudrait d'ailleurs à une sanction disciplinaire qui n'est pas prévue par la réglementation en vigueur.</w:t>
      </w:r>
    </w:p>
    <w:p w:rsidR="001305F5" w:rsidRDefault="001305F5" w:rsidP="001305F5">
      <w:pPr>
        <w:pStyle w:val="NormalWeb"/>
      </w:pPr>
      <w:r>
        <w:t>En cas de maladie d'un mandataire, l'article L1123-16 du Code de la démocratie locale et de la décentralisation lui permet de conserver son traitement. Le conseiller communal remplaçant l'échevin ou l'échevin remplaçant le bourgmestre, empêché pour cause de maladie pendant plus d'un mois, bénéficiera, pendant le remplacement, d'un traitement équivalant à celui du mandataire remplacé (pour ce qui concerne l'échevin remplaçant, il est prévu que celui-ci ne pourra cumuler le traitement plus élevé avec celui afférent à son mandat originaire).</w:t>
      </w:r>
    </w:p>
    <w:p w:rsidR="001305F5" w:rsidRDefault="001305F5" w:rsidP="001305F5">
      <w:pPr>
        <w:pStyle w:val="NormalWeb"/>
      </w:pPr>
      <w:r>
        <w:t xml:space="preserve">2.  Les mandataires locaux ne peuvent </w:t>
      </w:r>
      <w:r>
        <w:rPr>
          <w:rStyle w:val="Accentuation"/>
          <w:b/>
          <w:bCs/>
        </w:rPr>
        <w:t>renoncer</w:t>
      </w:r>
      <w:r>
        <w:t xml:space="preserve"> à leur traitement</w:t>
      </w:r>
      <w:bookmarkStart w:id="15" w:name="_ftnref14"/>
      <w:r>
        <w:fldChar w:fldCharType="begin"/>
      </w:r>
      <w:r>
        <w:instrText xml:space="preserve"> HYPERLINK "file:///C:\\Users\\nde\\Desktop\\FOCUS%20POUR%20NDE\\FOCUS%20SUR%20LA%20COMMUNE%20mise%20%C3%A0%20jour%202018\\A4FONCTIONNEMENT%20DE%20LA%20COMMUNE%20STATUT%20MANDATAIRE\\Fiche%201%20-%202146%20-%20Statut%20mand%20TRAITEMENT%202018.docx" \l "_ftn14" </w:instrText>
      </w:r>
      <w:r>
        <w:fldChar w:fldCharType="separate"/>
      </w:r>
      <w:r>
        <w:rPr>
          <w:rStyle w:val="Lienhypertexte"/>
        </w:rPr>
        <w:t>[14]</w:t>
      </w:r>
      <w:r>
        <w:fldChar w:fldCharType="end"/>
      </w:r>
      <w:bookmarkEnd w:id="15"/>
      <w:r>
        <w:t>. Ce n'est que si leur traitement entraîne la réduction ou la suppression d'autres indemnités ou allocations légales ou réglementaires, que le bourgmestre ou l'échevin peuvent demander une réduction de leur traitement selon les modalités arrêtées par le Gouvernement wallon (CDLD, art. L1123-15, par. 1er). Ces modalités n'ayant pas encore été arrêtées par l'Exécutif wallon, il convient de se reporter, dans l'attente, à l'arrêté royal du 23 juillet 1990 fixant les modalités d'octroi aux bourgmestres et aux échevins de la réduction de traitement prévue à l'article 19, par. 1er, al. 4, de la nouvelle loi communale (</w:t>
      </w:r>
      <w:r>
        <w:rPr>
          <w:rStyle w:val="Accentuation"/>
        </w:rPr>
        <w:t>M.B</w:t>
      </w:r>
      <w:r>
        <w:t>., 11.8.1990).</w:t>
      </w:r>
    </w:p>
    <w:p w:rsidR="001305F5" w:rsidRDefault="001305F5" w:rsidP="001305F5">
      <w:pPr>
        <w:pStyle w:val="NormalWeb"/>
      </w:pPr>
      <w:r>
        <w:t>3.  Signalons en outre que le mandataire d'une commune de moins de 50.000 habitants qui subirait une perte de revenus (qu'il s'agisse de traitements, pensions, indemnités ou allocations d'origine légale ou réglementaire) peut, selon certaines modalités</w:t>
      </w:r>
      <w:bookmarkStart w:id="16" w:name="_ftnref15"/>
      <w:r>
        <w:fldChar w:fldCharType="begin"/>
      </w:r>
      <w:r>
        <w:instrText xml:space="preserve"> HYPERLINK "file:///C:\\Users\\nde\\Desktop\\FOCUS%20POUR%20NDE\\FOCUS%20SUR%20LA%20COMMUNE%20mise%20%C3%A0%20jour%202018\\A4FONCTIONNEMENT%20DE%20LA%20COMMUNE%20STATUT%20MANDATAIRE\\Fiche%201%20-%202146%20-%20Statut%20mand%20TRAITEMENT%202018.docx" \l "_ftn15" </w:instrText>
      </w:r>
      <w:r>
        <w:fldChar w:fldCharType="separate"/>
      </w:r>
      <w:r>
        <w:rPr>
          <w:rStyle w:val="Lienhypertexte"/>
        </w:rPr>
        <w:t>[15]</w:t>
      </w:r>
      <w:r>
        <w:fldChar w:fldCharType="end"/>
      </w:r>
      <w:bookmarkEnd w:id="16"/>
      <w:r>
        <w:t xml:space="preserve">, solliciter de la commune une </w:t>
      </w:r>
      <w:r>
        <w:rPr>
          <w:rStyle w:val="Accentuation"/>
          <w:b/>
          <w:bCs/>
        </w:rPr>
        <w:t>majoration</w:t>
      </w:r>
      <w:r>
        <w:t xml:space="preserve"> de son traitement pour compenser la perte subie</w:t>
      </w:r>
      <w:bookmarkStart w:id="17" w:name="_ftnref16"/>
      <w:r>
        <w:fldChar w:fldCharType="begin"/>
      </w:r>
      <w:r>
        <w:instrText xml:space="preserve"> HYPERLINK "file:///C:\\Users\\nde\\Desktop\\FOCUS%20POUR%20NDE\\FOCUS%20SUR%20LA%20COMMUNE%20mise%20%C3%A0%20jour%202018\\A4FONCTIONNEMENT%20DE%20LA%20COMMUNE%20STATUT%20MANDATAIRE\\Fiche%201%20-%202146%20-%20Statut%20mand%20TRAITEMENT%202018.docx" \l "_ftn16" </w:instrText>
      </w:r>
      <w:r>
        <w:fldChar w:fldCharType="separate"/>
      </w:r>
      <w:r>
        <w:rPr>
          <w:rStyle w:val="Lienhypertexte"/>
        </w:rPr>
        <w:t>[16]</w:t>
      </w:r>
      <w:r>
        <w:fldChar w:fldCharType="end"/>
      </w:r>
      <w:bookmarkEnd w:id="17"/>
      <w:r>
        <w:t>. En tout état de cause le traitement majoré ne pourra excéder le traitement d'un bourgmestre ou d'un échevin, selon le cas, d'une commune de 50.000 habitants</w:t>
      </w:r>
      <w:bookmarkStart w:id="18" w:name="_ftnref17"/>
      <w:r>
        <w:fldChar w:fldCharType="begin"/>
      </w:r>
      <w:r>
        <w:instrText xml:space="preserve"> HYPERLINK "file:///C:\\Users\\nde\\Desktop\\FOCUS%20POUR%20NDE\\FOCUS%20SUR%20LA%20COMMUNE%20mise%20%C3%A0%20jour%202018\\A4FONCTIONNEMENT%20DE%20LA%20COMMUNE%20STATUT%20MANDATAIRE\\Fiche%201%20-%202146%20-%20Statut%20mand%20TRAITEMENT%202018.docx" \l "_ftn17" </w:instrText>
      </w:r>
      <w:r>
        <w:fldChar w:fldCharType="separate"/>
      </w:r>
      <w:r>
        <w:rPr>
          <w:rStyle w:val="Lienhypertexte"/>
        </w:rPr>
        <w:t>[17]</w:t>
      </w:r>
      <w:r>
        <w:fldChar w:fldCharType="end"/>
      </w:r>
      <w:bookmarkEnd w:id="18"/>
      <w:r>
        <w:t>.</w:t>
      </w:r>
    </w:p>
    <w:p w:rsidR="001305F5" w:rsidRDefault="001305F5" w:rsidP="001305F5">
      <w:pPr>
        <w:pStyle w:val="Titre3"/>
      </w:pPr>
      <w:r>
        <w:t>4. Le remboursement de frais</w:t>
      </w:r>
    </w:p>
    <w:p w:rsidR="001305F5" w:rsidRDefault="001305F5" w:rsidP="001305F5">
      <w:pPr>
        <w:pStyle w:val="NormalWeb"/>
      </w:pPr>
      <w:r>
        <w:rPr>
          <w:rStyle w:val="Accentuation"/>
        </w:rPr>
        <w:t>A. Le principe</w:t>
      </w:r>
    </w:p>
    <w:p w:rsidR="001305F5" w:rsidRDefault="001305F5" w:rsidP="001305F5">
      <w:pPr>
        <w:pStyle w:val="NormalWeb"/>
      </w:pPr>
      <w:r>
        <w:t>En vertu de l'article L1123-15, par. 3, du Code de la démocratie locale et de la décentralisation, les bourgmestres et échevins ne peuvent bénéficier, en dehors de leur traitement et d’éventuels avantages en nature</w:t>
      </w:r>
      <w:bookmarkStart w:id="19" w:name="_ftnref18"/>
      <w:r>
        <w:fldChar w:fldCharType="begin"/>
      </w:r>
      <w:r>
        <w:instrText xml:space="preserve"> HYPERLINK "file:///C:\\Users\\nde\\Desktop\\FOCUS%20POUR%20NDE\\FOCUS%20SUR%20LA%20COMMUNE%20mise%20%C3%A0%20jour%202018\\A4FONCTIONNEMENT%20DE%20LA%20COMMUNE%20STATUT%20MANDATAIRE\\Fiche%201%20-%202146%20-%20Statut%20mand%20TRAITEMENT%202018.docx" \l "_ftn18" </w:instrText>
      </w:r>
      <w:r>
        <w:fldChar w:fldCharType="separate"/>
      </w:r>
      <w:r>
        <w:rPr>
          <w:rStyle w:val="Lienhypertexte"/>
        </w:rPr>
        <w:t>[18]</w:t>
      </w:r>
      <w:r>
        <w:fldChar w:fldCharType="end"/>
      </w:r>
      <w:bookmarkEnd w:id="19"/>
      <w:r>
        <w:t>, d'aucun émolument à charge de la commune, pour quelque cause ou sous quelque dénomination que ce soit.</w:t>
      </w:r>
    </w:p>
    <w:p w:rsidR="001305F5" w:rsidRDefault="001305F5" w:rsidP="001305F5">
      <w:pPr>
        <w:pStyle w:val="NormalWeb"/>
      </w:pPr>
      <w:r>
        <w:t>Cette disposition prohibe tout remboursement qui ne couvrirait pas une charge réelle de l'élu</w:t>
      </w:r>
      <w:bookmarkStart w:id="20" w:name="_ftnref19"/>
      <w:r>
        <w:fldChar w:fldCharType="begin"/>
      </w:r>
      <w:r>
        <w:instrText xml:space="preserve"> HYPERLINK "file:///C:\\Users\\nde\\Desktop\\FOCUS%20POUR%20NDE\\FOCUS%20SUR%20LA%20COMMUNE%20mise%20%C3%A0%20jour%202018\\A4FONCTIONNEMENT%20DE%20LA%20COMMUNE%20STATUT%20MANDATAIRE\\Fiche%201%20-%202146%20-%20Statut%20mand%20TRAITEMENT%202018.docx" \l "_ftn19" </w:instrText>
      </w:r>
      <w:r>
        <w:fldChar w:fldCharType="separate"/>
      </w:r>
      <w:r>
        <w:rPr>
          <w:rStyle w:val="Lienhypertexte"/>
        </w:rPr>
        <w:t>[19]</w:t>
      </w:r>
      <w:r>
        <w:fldChar w:fldCharType="end"/>
      </w:r>
      <w:bookmarkEnd w:id="20"/>
      <w:r>
        <w:t xml:space="preserve">. L'interdiction prévue par l'article précité ne concerne pas les indemnités pour les </w:t>
      </w:r>
      <w:r>
        <w:rPr>
          <w:rStyle w:val="Accentuation"/>
          <w:b/>
          <w:bCs/>
        </w:rPr>
        <w:t>frais réels</w:t>
      </w:r>
      <w:bookmarkStart w:id="21" w:name="_ftnref20"/>
      <w:r>
        <w:rPr>
          <w:rStyle w:val="Accentuation"/>
          <w:b/>
          <w:bCs/>
        </w:rPr>
        <w:fldChar w:fldCharType="begin"/>
      </w:r>
      <w:r>
        <w:rPr>
          <w:rStyle w:val="Accentuation"/>
          <w:b/>
          <w:bCs/>
        </w:rPr>
        <w:instrText xml:space="preserve"> HYPERLINK "file:///C:\\Users\\nde\\Desktop\\FOCUS%20POUR%20NDE\\FOCUS%20SUR%20LA%20COMMUNE%20mise%20%C3%A0%20jour%202018\\A4FONCTIONNEMENT%20DE%20LA%20COMMUNE%20STATUT%20MANDATAIRE\\Fiche%201%20-%202146%20-%20Statut%20mand%20TRAITEMENT%202018.docx" \l "_ftn20" </w:instrText>
      </w:r>
      <w:r>
        <w:rPr>
          <w:rStyle w:val="Accentuation"/>
          <w:b/>
          <w:bCs/>
        </w:rPr>
        <w:fldChar w:fldCharType="separate"/>
      </w:r>
      <w:r>
        <w:rPr>
          <w:rStyle w:val="lev"/>
          <w:i/>
          <w:iCs/>
          <w:color w:val="0000FF"/>
          <w:u w:val="single"/>
        </w:rPr>
        <w:t>[20]</w:t>
      </w:r>
      <w:r>
        <w:rPr>
          <w:rStyle w:val="Accentuation"/>
          <w:b/>
          <w:bCs/>
        </w:rPr>
        <w:fldChar w:fldCharType="end"/>
      </w:r>
      <w:bookmarkEnd w:id="21"/>
      <w:r>
        <w:t xml:space="preserve"> résultant des fonctions exercées (frais de déplacement, de séjour, de téléphonie, etc.).</w:t>
      </w:r>
    </w:p>
    <w:p w:rsidR="001305F5" w:rsidRDefault="001305F5" w:rsidP="001305F5">
      <w:pPr>
        <w:pStyle w:val="NormalWeb"/>
      </w:pPr>
      <w:r>
        <w:t>Ces frais ne sont pas couverts par le traitement et constituent des dépenses réelles qui ne peuvent être considérées comme des gains complémentaires, sauf si l'indemnité dépasse notoirement les dépenses réelles.</w:t>
      </w:r>
    </w:p>
    <w:p w:rsidR="001305F5" w:rsidRDefault="001305F5" w:rsidP="001305F5">
      <w:pPr>
        <w:pStyle w:val="NormalWeb"/>
      </w:pPr>
      <w:r>
        <w:rPr>
          <w:rStyle w:val="Accentuation"/>
        </w:rPr>
        <w:t>B. Les applications pratiques</w:t>
      </w:r>
    </w:p>
    <w:p w:rsidR="001305F5" w:rsidRDefault="001305F5" w:rsidP="001305F5">
      <w:pPr>
        <w:pStyle w:val="NormalWeb"/>
      </w:pPr>
      <w:r>
        <w:rPr>
          <w:rStyle w:val="lev"/>
        </w:rPr>
        <w:t>1. Frais de déplacement</w:t>
      </w:r>
    </w:p>
    <w:p w:rsidR="001305F5" w:rsidRDefault="001305F5" w:rsidP="001305F5">
      <w:pPr>
        <w:pStyle w:val="NormalWeb"/>
      </w:pPr>
      <w:r>
        <w:t>Pour ce qui concerne les frais de déplacement, il convient cependant d'apporter quelques restrictions au principe évoqué sous le point 4.A, restrictions qui dépendent du genre et du but des déplacements.</w:t>
      </w:r>
    </w:p>
    <w:p w:rsidR="001305F5" w:rsidRDefault="001305F5" w:rsidP="001305F5">
      <w:pPr>
        <w:pStyle w:val="NormalWeb"/>
      </w:pPr>
      <w:r>
        <w:t xml:space="preserve">En principe, les frais exposés à l'occasion de déplacements effectués par un mandataire </w:t>
      </w:r>
      <w:r>
        <w:rPr>
          <w:rStyle w:val="Accentuation"/>
          <w:b/>
          <w:bCs/>
        </w:rPr>
        <w:t>sur le territoire</w:t>
      </w:r>
      <w:r>
        <w:t xml:space="preserve"> de sa propre commune, et ce, dans le cadre de l'exercice normal de la fonction, doivent être considérés comme remboursés par le traitement lui-même et ne peuvent donner lieu à des indemnités complémentaires. Ils sont, en effet, inhérents à l'exercice de la fonction</w:t>
      </w:r>
      <w:bookmarkStart w:id="22" w:name="_ftnref21"/>
      <w:r>
        <w:fldChar w:fldCharType="begin"/>
      </w:r>
      <w:r>
        <w:instrText xml:space="preserve"> HYPERLINK "file:///C:\\Users\\nde\\Desktop\\FOCUS%20POUR%20NDE\\FOCUS%20SUR%20LA%20COMMUNE%20mise%20%C3%A0%20jour%202018\\A4FONCTIONNEMENT%20DE%20LA%20COMMUNE%20STATUT%20MANDATAIRE\\Fiche%201%20-%202146%20-%20Statut%20mand%20TRAITEMENT%202018.docx" \l "_ftn21" </w:instrText>
      </w:r>
      <w:r>
        <w:fldChar w:fldCharType="separate"/>
      </w:r>
      <w:r>
        <w:rPr>
          <w:rStyle w:val="Lienhypertexte"/>
        </w:rPr>
        <w:t>[21]</w:t>
      </w:r>
      <w:r>
        <w:fldChar w:fldCharType="end"/>
      </w:r>
      <w:bookmarkEnd w:id="22"/>
      <w:r>
        <w:t>. Toutefois, lorsque les déplacements dépassent ce qui pourrait être traditionnellement admis comme la norme (réunions du conseil et du collège, quelques réunions autres par mois, …) et que de nombreux frais de déplacements sont exposés en raison des devoirs de la charge (p. ex. visites fréquentes des nombreux chantiers communaux), il a été admis par les divers Ministres concernés qu'un remboursement pouvait être octroyé</w:t>
      </w:r>
      <w:bookmarkStart w:id="23" w:name="_ftnref22"/>
      <w:r>
        <w:fldChar w:fldCharType="begin"/>
      </w:r>
      <w:r>
        <w:instrText xml:space="preserve"> HYPERLINK "file:///C:\\Users\\nde\\Desktop\\FOCUS%20POUR%20NDE\\FOCUS%20SUR%20LA%20COMMUNE%20mise%20%C3%A0%20jour%202018\\A4FONCTIONNEMENT%20DE%20LA%20COMMUNE%20STATUT%20MANDATAIRE\\Fiche%201%20-%202146%20-%20Statut%20mand%20TRAITEMENT%202018.docx" \l "_ftn22" </w:instrText>
      </w:r>
      <w:r>
        <w:fldChar w:fldCharType="separate"/>
      </w:r>
      <w:r>
        <w:rPr>
          <w:rStyle w:val="Lienhypertexte"/>
        </w:rPr>
        <w:t>[22]</w:t>
      </w:r>
      <w:r>
        <w:fldChar w:fldCharType="end"/>
      </w:r>
      <w:bookmarkEnd w:id="23"/>
      <w:r>
        <w:t>. A noter qu'il convient de préférer les remboursements réels (sur base de pièces justificatives) au remboursement forfaitaire. En outre, les modalités de remboursement doivent être fixées dans une délibération soumise à tutelle générale d'annulation</w:t>
      </w:r>
      <w:bookmarkStart w:id="24" w:name="_ftnref23"/>
      <w:r>
        <w:fldChar w:fldCharType="begin"/>
      </w:r>
      <w:r>
        <w:instrText xml:space="preserve"> HYPERLINK "file:///C:\\Users\\nde\\Desktop\\FOCUS%20POUR%20NDE\\FOCUS%20SUR%20LA%20COMMUNE%20mise%20%C3%A0%20jour%202018\\A4FONCTIONNEMENT%20DE%20LA%20COMMUNE%20STATUT%20MANDATAIRE\\Fiche%201%20-%202146%20-%20Statut%20mand%20TRAITEMENT%202018.docx" \l "_ftn23" </w:instrText>
      </w:r>
      <w:r>
        <w:fldChar w:fldCharType="separate"/>
      </w:r>
      <w:r>
        <w:rPr>
          <w:rStyle w:val="Lienhypertexte"/>
        </w:rPr>
        <w:t>[23]</w:t>
      </w:r>
      <w:r>
        <w:fldChar w:fldCharType="end"/>
      </w:r>
      <w:bookmarkEnd w:id="24"/>
      <w:r>
        <w:t>.</w:t>
      </w:r>
    </w:p>
    <w:p w:rsidR="001305F5" w:rsidRDefault="001305F5" w:rsidP="001305F5">
      <w:pPr>
        <w:pStyle w:val="NormalWeb"/>
      </w:pPr>
      <w:r>
        <w:t xml:space="preserve">Le Code de la démocratie locale et de la décentralisation ne semble pas s'opposer, par contre, au remboursement des dépenses faites pour des déplacements de service effectués par les mandataires </w:t>
      </w:r>
      <w:r>
        <w:rPr>
          <w:rStyle w:val="Accentuation"/>
          <w:b/>
          <w:bCs/>
        </w:rPr>
        <w:t>hors du territoire</w:t>
      </w:r>
      <w:r>
        <w:t xml:space="preserve"> de la commune </w:t>
      </w:r>
      <w:r>
        <w:rPr>
          <w:rStyle w:val="Accentuation"/>
          <w:b/>
          <w:bCs/>
        </w:rPr>
        <w:t>à condition que l'autorité les ait mandatés à cet effet</w:t>
      </w:r>
      <w:bookmarkStart w:id="25" w:name="_ftnref24"/>
      <w:r>
        <w:fldChar w:fldCharType="begin"/>
      </w:r>
      <w:r>
        <w:instrText xml:space="preserve"> HYPERLINK "file:///C:\\Users\\nde\\Desktop\\FOCUS%20POUR%20NDE\\FOCUS%20SUR%20LA%20COMMUNE%20mise%20%C3%A0%20jour%202018\\A4FONCTIONNEMENT%20DE%20LA%20COMMUNE%20STATUT%20MANDATAIRE\\Fiche%201%20-%202146%20-%20Statut%20mand%20TRAITEMENT%202018.docx" \l "_ftn24" </w:instrText>
      </w:r>
      <w:r>
        <w:fldChar w:fldCharType="separate"/>
      </w:r>
      <w:r>
        <w:rPr>
          <w:rStyle w:val="Lienhypertexte"/>
        </w:rPr>
        <w:t>[24]</w:t>
      </w:r>
      <w:r>
        <w:fldChar w:fldCharType="end"/>
      </w:r>
      <w:bookmarkEnd w:id="25"/>
      <w:r>
        <w:t>.</w:t>
      </w:r>
    </w:p>
    <w:p w:rsidR="001305F5" w:rsidRDefault="001305F5" w:rsidP="001305F5">
      <w:pPr>
        <w:pStyle w:val="NormalWeb"/>
      </w:pPr>
      <w:r>
        <w:t>La fixation des modalités en vue de l'octroi d'indemnités de déplacement appartient exclusivement au conseil communal, qui peut par exemple s'inspirer des modalités fixées par la réglementation applicable aux membres du personnel des communes</w:t>
      </w:r>
      <w:bookmarkStart w:id="26" w:name="_ftnref25"/>
      <w:r>
        <w:fldChar w:fldCharType="begin"/>
      </w:r>
      <w:r>
        <w:instrText xml:space="preserve"> HYPERLINK "file:///C:\\Users\\nde\\Desktop\\FOCUS%20POUR%20NDE\\FOCUS%20SUR%20LA%20COMMUNE%20mise%20%C3%A0%20jour%202018\\A4FONCTIONNEMENT%20DE%20LA%20COMMUNE%20STATUT%20MANDATAIRE\\Fiche%201%20-%202146%20-%20Statut%20mand%20TRAITEMENT%202018.docx" \l "_ftn25" </w:instrText>
      </w:r>
      <w:r>
        <w:fldChar w:fldCharType="separate"/>
      </w:r>
      <w:r>
        <w:rPr>
          <w:rStyle w:val="Lienhypertexte"/>
        </w:rPr>
        <w:t>[25]</w:t>
      </w:r>
      <w:r>
        <w:fldChar w:fldCharType="end"/>
      </w:r>
      <w:bookmarkEnd w:id="26"/>
      <w:r>
        <w:t>.</w:t>
      </w:r>
    </w:p>
    <w:p w:rsidR="001305F5" w:rsidRDefault="001305F5" w:rsidP="001305F5">
      <w:pPr>
        <w:pStyle w:val="NormalWeb"/>
      </w:pPr>
      <w:r>
        <w:rPr>
          <w:rStyle w:val="lev"/>
        </w:rPr>
        <w:t>2. Assurance dégâts matériels</w:t>
      </w:r>
    </w:p>
    <w:p w:rsidR="001305F5" w:rsidRDefault="001305F5" w:rsidP="001305F5">
      <w:pPr>
        <w:pStyle w:val="NormalWeb"/>
      </w:pPr>
      <w:r>
        <w:t>Il a été jugé par le Conseil d'Etat que la souscription d'une assurance dégâts matériels complète pour les véhicules des mandataires locaux pour l'ensemble de leurs déplacements constitue une libéralité non justifiée de nature à blesser l'intérêt général</w:t>
      </w:r>
      <w:bookmarkStart w:id="27" w:name="_ftnref26"/>
      <w:r>
        <w:fldChar w:fldCharType="begin"/>
      </w:r>
      <w:r>
        <w:instrText xml:space="preserve"> HYPERLINK "file:///C:\\Users\\nde\\Desktop\\FOCUS%20POUR%20NDE\\FOCUS%20SUR%20LA%20COMMUNE%20mise%20%C3%A0%20jour%202018\\A4FONCTIONNEMENT%20DE%20LA%20COMMUNE%20STATUT%20MANDATAIRE\\Fiche%201%20-%202146%20-%20Statut%20mand%20TRAITEMENT%202018.docx" \l "_ftn26" </w:instrText>
      </w:r>
      <w:r>
        <w:fldChar w:fldCharType="separate"/>
      </w:r>
      <w:r>
        <w:rPr>
          <w:rStyle w:val="Lienhypertexte"/>
        </w:rPr>
        <w:t>[26]</w:t>
      </w:r>
      <w:r>
        <w:fldChar w:fldCharType="end"/>
      </w:r>
      <w:bookmarkEnd w:id="27"/>
      <w:r>
        <w:t>.</w:t>
      </w:r>
    </w:p>
    <w:p w:rsidR="001305F5" w:rsidRDefault="001305F5" w:rsidP="001305F5">
      <w:pPr>
        <w:pStyle w:val="NormalWeb"/>
      </w:pPr>
      <w:r>
        <w:t>Par contre, si le risque assuré est clairement délimité et en lien avec l'exercice du mandat, on admet que la commune souscrive une assurance pour ses mandataires</w:t>
      </w:r>
      <w:bookmarkStart w:id="28" w:name="_ftnref27"/>
      <w:r>
        <w:fldChar w:fldCharType="begin"/>
      </w:r>
      <w:r>
        <w:instrText xml:space="preserve"> HYPERLINK "file:///C:\\Users\\nde\\Desktop\\FOCUS%20POUR%20NDE\\FOCUS%20SUR%20LA%20COMMUNE%20mise%20%C3%A0%20jour%202018\\A4FONCTIONNEMENT%20DE%20LA%20COMMUNE%20STATUT%20MANDATAIRE\\Fiche%201%20-%202146%20-%20Statut%20mand%20TRAITEMENT%202018.docx" \l "_ftn27" </w:instrText>
      </w:r>
      <w:r>
        <w:fldChar w:fldCharType="separate"/>
      </w:r>
      <w:r>
        <w:rPr>
          <w:rStyle w:val="Lienhypertexte"/>
        </w:rPr>
        <w:t>[27]</w:t>
      </w:r>
      <w:r>
        <w:fldChar w:fldCharType="end"/>
      </w:r>
      <w:bookmarkEnd w:id="28"/>
      <w:r>
        <w:t>.</w:t>
      </w:r>
    </w:p>
    <w:p w:rsidR="001305F5" w:rsidRDefault="001305F5" w:rsidP="001305F5">
      <w:pPr>
        <w:pStyle w:val="NormalWeb"/>
      </w:pPr>
      <w:r>
        <w:rPr>
          <w:rStyle w:val="lev"/>
        </w:rPr>
        <w:t>3. Frais de télécommunication</w:t>
      </w:r>
    </w:p>
    <w:p w:rsidR="001305F5" w:rsidRDefault="001305F5" w:rsidP="001305F5">
      <w:pPr>
        <w:pStyle w:val="NormalWeb"/>
      </w:pPr>
      <w:r>
        <w:t>Dans ce domaine également, l'octroi d'indemnités n'est pas contraire au Code de la démocratie locale et de la décentralisation pour autant toutefois que cet octroi ne vise qu'à indemniser les dépenses réelles faites dans l'intérêt de la commune en excluant les dépenses personnelles</w:t>
      </w:r>
      <w:bookmarkStart w:id="29" w:name="_ftnref28"/>
      <w:r>
        <w:fldChar w:fldCharType="begin"/>
      </w:r>
      <w:r>
        <w:instrText xml:space="preserve"> HYPERLINK "file:///C:\\Users\\nde\\Desktop\\FOCUS%20POUR%20NDE\\FOCUS%20SUR%20LA%20COMMUNE%20mise%20%C3%A0%20jour%202018\\A4FONCTIONNEMENT%20DE%20LA%20COMMUNE%20STATUT%20MANDATAIRE\\Fiche%201%20-%202146%20-%20Statut%20mand%20TRAITEMENT%202018.docx" \l "_ftn28" </w:instrText>
      </w:r>
      <w:r>
        <w:fldChar w:fldCharType="separate"/>
      </w:r>
      <w:r>
        <w:rPr>
          <w:rStyle w:val="Lienhypertexte"/>
        </w:rPr>
        <w:t>[28]</w:t>
      </w:r>
      <w:r>
        <w:fldChar w:fldCharType="end"/>
      </w:r>
      <w:bookmarkEnd w:id="29"/>
      <w:r>
        <w:t>.</w:t>
      </w:r>
    </w:p>
    <w:p w:rsidR="001305F5" w:rsidRDefault="001305F5" w:rsidP="001305F5">
      <w:pPr>
        <w:pStyle w:val="NormalWeb"/>
      </w:pPr>
      <w:r>
        <w:t>C'est au conseil communal qu'il appartient d'arrêter les modalités pratiques du remboursement, sous le contrôle de l'autorité de tutelle qui est en droit de suspendre ou d'annuler des décisions octroyant des indemnités excessives. Rappelons en outre qu'en vertu de l'article L3122, 2°, CDLD, les délibérations octroyant des avantages de toute nature sont soumises à la tutelle générale d'annulation et ne peuvent être mises à exécution avant d'avoir été transmises.</w:t>
      </w:r>
    </w:p>
    <w:p w:rsidR="001305F5" w:rsidRDefault="001305F5" w:rsidP="001305F5">
      <w:r>
        <w:pict>
          <v:rect id="_x0000_i1025" style="width:0;height:1.5pt" o:hralign="center" o:hrstd="t" o:hr="t" fillcolor="#a0a0a0" stroked="f"/>
        </w:pict>
      </w:r>
    </w:p>
    <w:bookmarkStart w:id="30" w:name="_ftn1"/>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"_ftnref1" </w:instrText>
      </w:r>
      <w:r>
        <w:fldChar w:fldCharType="separate"/>
      </w:r>
      <w:r>
        <w:rPr>
          <w:rStyle w:val="Lienhypertexte"/>
        </w:rPr>
        <w:t>[1]</w:t>
      </w:r>
      <w:r>
        <w:fldChar w:fldCharType="end"/>
      </w:r>
      <w:bookmarkEnd w:id="30"/>
      <w:r>
        <w:t>     Le traitement des mandataires exécutifs locaux n'est donc pas affecté par la revalorisation pécuniaire du traitement des directeurs généraux (ex-secrétaires communaux) portée par la réforme du 18.4.2013.</w:t>
      </w:r>
    </w:p>
    <w:bookmarkStart w:id="31" w:name="_ftn2"/>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"_ftnref2" </w:instrText>
      </w:r>
      <w:r>
        <w:fldChar w:fldCharType="separate"/>
      </w:r>
      <w:r>
        <w:rPr>
          <w:rStyle w:val="Lienhypertexte"/>
        </w:rPr>
        <w:t>[2]</w:t>
      </w:r>
      <w:r>
        <w:fldChar w:fldCharType="end"/>
      </w:r>
      <w:bookmarkEnd w:id="31"/>
      <w:r>
        <w:t xml:space="preserve">     Décr. 30.4.2009 mod. certaines dispositions du CDLD et de la L.O. 8-7-1976, </w:t>
      </w:r>
      <w:r>
        <w:rPr>
          <w:rStyle w:val="Accentuation"/>
        </w:rPr>
        <w:t>M.B.,</w:t>
      </w:r>
      <w:r>
        <w:t xml:space="preserve"> 22.5.2009.</w:t>
      </w:r>
    </w:p>
    <w:bookmarkStart w:id="32" w:name="_ftn3"/>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"_ftnref3" </w:instrText>
      </w:r>
      <w:r>
        <w:fldChar w:fldCharType="separate"/>
      </w:r>
      <w:r>
        <w:rPr>
          <w:rStyle w:val="Lienhypertexte"/>
        </w:rPr>
        <w:t>[3]</w:t>
      </w:r>
      <w:r>
        <w:fldChar w:fldCharType="end"/>
      </w:r>
      <w:bookmarkEnd w:id="32"/>
      <w:r>
        <w:t xml:space="preserve">     C’est l’A.G.W. 8.3.2018 portant classification des communes en exécution de l’art. L1121-3, al. 1er CDLD (</w:t>
      </w:r>
      <w:r>
        <w:rPr>
          <w:rStyle w:val="Accentuation"/>
        </w:rPr>
        <w:t>MB,</w:t>
      </w:r>
      <w:r>
        <w:t xml:space="preserve"> 21.3.2018) qui renseigne le chiffre de la population dont il faut tenir compte pour la prochaine législature.</w:t>
      </w:r>
    </w:p>
    <w:bookmarkStart w:id="33" w:name="_ftn4"/>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"_ftnref4" </w:instrText>
      </w:r>
      <w:r>
        <w:fldChar w:fldCharType="separate"/>
      </w:r>
      <w:r>
        <w:rPr>
          <w:rStyle w:val="Lienhypertexte"/>
        </w:rPr>
        <w:t>[4]</w:t>
      </w:r>
      <w:r>
        <w:fldChar w:fldCharType="end"/>
      </w:r>
      <w:bookmarkEnd w:id="33"/>
      <w:r>
        <w:t>     Il convient de les multiplier par 1,6734 à partir du 1.7.2017, et par 1,7069 à partir du 1.10.2018.</w:t>
      </w:r>
    </w:p>
    <w:bookmarkStart w:id="34" w:name="_ftn5"/>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"_ftnref5" </w:instrText>
      </w:r>
      <w:r>
        <w:fldChar w:fldCharType="separate"/>
      </w:r>
      <w:r>
        <w:rPr>
          <w:rStyle w:val="Lienhypertexte"/>
        </w:rPr>
        <w:t>[5]</w:t>
      </w:r>
      <w:r>
        <w:fldChar w:fldCharType="end"/>
      </w:r>
      <w:bookmarkEnd w:id="34"/>
      <w:r>
        <w:t xml:space="preserve">     A.R. 30.1.1979 rel. à l'octroi d'un pécule de vacances aux agents de l'administration générale du Royaume, </w:t>
      </w:r>
      <w:r>
        <w:rPr>
          <w:rStyle w:val="Accentuation"/>
        </w:rPr>
        <w:t>M.B.,</w:t>
      </w:r>
      <w:r>
        <w:t xml:space="preserve"> 7.2.1979, et A.R. 23.10.1979 accordant une allocation de fin d'année à certains titulaires d'une fonction rémunérée à charge du Trésor public, </w:t>
      </w:r>
      <w:r>
        <w:rPr>
          <w:rStyle w:val="Accentuation"/>
        </w:rPr>
        <w:t>M.B.,</w:t>
      </w:r>
      <w:r>
        <w:t> 22.11.1979.</w:t>
      </w:r>
    </w:p>
    <w:bookmarkStart w:id="35" w:name="_ftn6"/>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"_ftnref6" </w:instrText>
      </w:r>
      <w:r>
        <w:fldChar w:fldCharType="separate"/>
      </w:r>
      <w:r>
        <w:rPr>
          <w:rStyle w:val="Lienhypertexte"/>
        </w:rPr>
        <w:t>[6]</w:t>
      </w:r>
      <w:r>
        <w:fldChar w:fldCharType="end"/>
      </w:r>
      <w:bookmarkEnd w:id="35"/>
      <w:r>
        <w:t xml:space="preserve">     Qui portera également les modalités de calcul de l’allocation de fin d’année afin de se prémunir d’éventuelles futures modifications de la réglementation fédérale qui ne seraient pas concertées avec le niveau local.</w:t>
      </w:r>
    </w:p>
    <w:bookmarkStart w:id="36" w:name="_ftn7"/>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"_ftnref7" </w:instrText>
      </w:r>
      <w:r>
        <w:fldChar w:fldCharType="separate"/>
      </w:r>
      <w:r>
        <w:rPr>
          <w:rStyle w:val="Lienhypertexte"/>
        </w:rPr>
        <w:t>[7]</w:t>
      </w:r>
      <w:r>
        <w:fldChar w:fldCharType="end"/>
      </w:r>
      <w:bookmarkEnd w:id="36"/>
      <w:r>
        <w:t>     A.R. 30.1.1979, art. 4</w:t>
      </w:r>
      <w:r>
        <w:rPr>
          <w:rStyle w:val="Accentuation"/>
        </w:rPr>
        <w:t>bis</w:t>
      </w:r>
      <w:r>
        <w:t>.</w:t>
      </w:r>
    </w:p>
    <w:bookmarkStart w:id="37" w:name="_ftn8"/>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"_ftnref8" </w:instrText>
      </w:r>
      <w:r>
        <w:fldChar w:fldCharType="separate"/>
      </w:r>
      <w:r>
        <w:rPr>
          <w:rStyle w:val="Lienhypertexte"/>
        </w:rPr>
        <w:t>[8]</w:t>
      </w:r>
      <w:r>
        <w:fldChar w:fldCharType="end"/>
      </w:r>
      <w:bookmarkEnd w:id="37"/>
      <w:r>
        <w:t xml:space="preserve">     Circ. n° 662 – Allocation de fin d'année 2017, </w:t>
      </w:r>
      <w:r>
        <w:rPr>
          <w:rStyle w:val="Accentuation"/>
        </w:rPr>
        <w:t>M.B.,</w:t>
      </w:r>
      <w:r>
        <w:t xml:space="preserve"> 28.11.2017.</w:t>
      </w:r>
    </w:p>
    <w:bookmarkStart w:id="38" w:name="_ftn9"/>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"_ftnref9" </w:instrText>
      </w:r>
      <w:r>
        <w:fldChar w:fldCharType="separate"/>
      </w:r>
      <w:r>
        <w:rPr>
          <w:rStyle w:val="Lienhypertexte"/>
        </w:rPr>
        <w:t>[9]</w:t>
      </w:r>
      <w:r>
        <w:fldChar w:fldCharType="end"/>
      </w:r>
      <w:bookmarkEnd w:id="38"/>
      <w:r>
        <w:t>     A noter une différence entre le cumul de pécules de vacances et le cumul d'allocations de fin d'année: en cas de dépassement du plafond autorisé, la réduction s'opère, en matière de pécule, sur le montant le moins élevé des divers montants perçus, sur base de prestations réelles tandis qu'en matière de cumul d'allocations de fin d'année, la réduction sera opérée sur le moins élevé des montants en tenant compte de prestations à temps plein.</w:t>
      </w:r>
    </w:p>
    <w:bookmarkStart w:id="39" w:name="_ftn10"/>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"_ftnref10" </w:instrText>
      </w:r>
      <w:r>
        <w:fldChar w:fldCharType="separate"/>
      </w:r>
      <w:r>
        <w:rPr>
          <w:rStyle w:val="Lienhypertexte"/>
        </w:rPr>
        <w:t>[10]</w:t>
      </w:r>
      <w:r>
        <w:fldChar w:fldCharType="end"/>
      </w:r>
      <w:bookmarkEnd w:id="39"/>
      <w:r>
        <w:t>    Le statut supplétif applicable aux mandataires locaux non protégés a été décrit par les circ. suivantes de l’</w:t>
      </w:r>
      <w:bookmarkStart w:id="40" w:name="Définition_du_terme_«_&lt;a_class="/>
      <w:proofErr w:type="spellStart"/>
      <w:r>
        <w:fldChar w:fldCharType="begin"/>
      </w:r>
      <w:r>
        <w:instrText xml:space="preserve"> HYPERLINK "http://www.uvcw.be/articles/javascript/jquery-tooltip/ajax.cfm?width=425&amp;idAcronyme=274" </w:instrText>
      </w:r>
      <w:r>
        <w:fldChar w:fldCharType="separate"/>
      </w:r>
      <w:proofErr w:type="spellEnd"/>
      <w:r>
        <w:rPr>
          <w:rStyle w:val="Lienhypertexte"/>
        </w:rPr>
        <w:t>ORPSS</w:t>
      </w:r>
      <w:r>
        <w:fldChar w:fldCharType="end"/>
      </w:r>
      <w:bookmarkEnd w:id="40"/>
      <w:r>
        <w:t xml:space="preserve"> »" href="/javascript/jquery-tooltip/ajax.cfm?width=425&amp;idAcronyme=272"&gt;ORPSS (ex-</w:t>
      </w:r>
      <w:bookmarkStart w:id="41" w:name="Définition_du_terme_«_ONSSAPL_»"/>
      <w:proofErr w:type="spellStart"/>
      <w:r>
        <w:fldChar w:fldCharType="begin"/>
      </w:r>
      <w:r>
        <w:instrText xml:space="preserve"> HYPERLINK "http://www.uvcw.be/javascript/jquery-tooltip/ajax.cfm?width=425&amp;idAcronyme=106" </w:instrText>
      </w:r>
      <w:r>
        <w:fldChar w:fldCharType="separate"/>
      </w:r>
      <w:proofErr w:type="spellEnd"/>
      <w:r>
        <w:rPr>
          <w:rStyle w:val="Lienhypertexte"/>
        </w:rPr>
        <w:t>ONSSAPL</w:t>
      </w:r>
      <w:r>
        <w:fldChar w:fldCharType="end"/>
      </w:r>
      <w:bookmarkEnd w:id="41"/>
      <w:r>
        <w:t>): 2000/14, 2000/14</w:t>
      </w:r>
      <w:r>
        <w:rPr>
          <w:rStyle w:val="Accentuation"/>
        </w:rPr>
        <w:t>bis</w:t>
      </w:r>
      <w:r>
        <w:t>, 2001/7, 2001/7</w:t>
      </w:r>
      <w:r>
        <w:rPr>
          <w:rStyle w:val="Accentuation"/>
        </w:rPr>
        <w:t>bis</w:t>
      </w:r>
      <w:r>
        <w:t xml:space="preserve"> et 2002/9. Notons en outre que le statut supplétif des mandataires locaux a notamment été étendu aux présidents d'intercommunales, aux présidents d'associations "chapitre XII". Voir la communication 2007/3 de l’ORPSS.</w:t>
      </w:r>
    </w:p>
    <w:bookmarkStart w:id="42" w:name="_ftn11"/>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"_ftnref11" </w:instrText>
      </w:r>
      <w:r>
        <w:fldChar w:fldCharType="separate"/>
      </w:r>
      <w:r>
        <w:rPr>
          <w:rStyle w:val="Lienhypertexte"/>
        </w:rPr>
        <w:t>[11]</w:t>
      </w:r>
      <w:r>
        <w:fldChar w:fldCharType="end"/>
      </w:r>
      <w:bookmarkEnd w:id="42"/>
      <w:r>
        <w:t xml:space="preserve">    L.O. 8.7.1976, </w:t>
      </w:r>
      <w:r>
        <w:rPr>
          <w:rStyle w:val="Accentuation"/>
        </w:rPr>
        <w:t>M.B.</w:t>
      </w:r>
      <w:r>
        <w:t xml:space="preserve">, 5.8.1976, art. 38, par. 1er. Voir également l'A.R. 15.12.1977, </w:t>
      </w:r>
      <w:r>
        <w:rPr>
          <w:rStyle w:val="Accentuation"/>
        </w:rPr>
        <w:t>M.B.</w:t>
      </w:r>
      <w:r>
        <w:t>, 22.12.1977.</w:t>
      </w:r>
    </w:p>
    <w:bookmarkStart w:id="43" w:name="_ftn12"/>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"_ftnref12" </w:instrText>
      </w:r>
      <w:r>
        <w:fldChar w:fldCharType="separate"/>
      </w:r>
      <w:r>
        <w:rPr>
          <w:rStyle w:val="Lienhypertexte"/>
        </w:rPr>
        <w:t>[12]</w:t>
      </w:r>
      <w:r>
        <w:fldChar w:fldCharType="end"/>
      </w:r>
      <w:bookmarkEnd w:id="43"/>
      <w:r>
        <w:t xml:space="preserve">    L’évaluation du montant des avantages en nature est réalisée sur base des critères utilisés par l’administration fiscale en matière d’impôts sur les revenus.</w:t>
      </w:r>
    </w:p>
    <w:bookmarkStart w:id="44" w:name="_ftn13"/>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"_ftnref13" </w:instrText>
      </w:r>
      <w:r>
        <w:fldChar w:fldCharType="separate"/>
      </w:r>
      <w:r>
        <w:rPr>
          <w:rStyle w:val="Lienhypertexte"/>
        </w:rPr>
        <w:t>[13]</w:t>
      </w:r>
      <w:r>
        <w:fldChar w:fldCharType="end"/>
      </w:r>
      <w:bookmarkEnd w:id="44"/>
      <w:r>
        <w:t xml:space="preserve">    Le </w:t>
      </w:r>
      <w:r>
        <w:rPr>
          <w:rStyle w:val="Accentuation"/>
        </w:rPr>
        <w:t>M.B</w:t>
      </w:r>
      <w:r>
        <w:t>. 2.2.2018 a publié un communiqué fixant le montant que les membres des assemblées législatives sont autorisés à percevoir en rétribution de mandats, fonctions ou charges publics d'ordre politique exercés en dehors de leur mandat parlementaire. Pour 2018, ce montant est fixé à 62.395,22 euros (il s'agit d'un montant lié à l'indice 1,6734, applicable à la date de publication du communiqué ; suite à l’indexation, applicable à partir du 1.10.2018, le montant dont il doit être tenu compte est donc de 62.395,22 + 2 %, ce qui amène le montant précité à 63.643,12 euros), ce qui correspond à 50 % de l'indemnité parlementaire, et ce, en vertu de la L. 4.5.1999 limitant le cumul du mandat de parlementaire fédéral et de parlementaire européen avec d'autres fonctions, de la L.sp. 4.5.1999 visant à limiter le cumul du mandat de membre du Conseil de la Communauté française, du Conseil régional wallon, du Conseil flamand et du Conseil de la Région de Bruxelles-Capitale avec d'autres fonctions et de la L. 25.5.1999 mod. L. 31.12.1983 de réformes institutionnelles pour la Communauté germanophone.</w:t>
      </w:r>
    </w:p>
    <w:p w:rsidR="001305F5" w:rsidRDefault="001305F5" w:rsidP="001305F5">
      <w:pPr>
        <w:pStyle w:val="NormalWeb"/>
      </w:pPr>
      <w:r>
        <w:t>    Pour rappel, l'indemnité parlementaire est composée d'un montant brut d'un peu plus de 53.500 euros (montant à multiplier par l'indice 1,6734 pour obtenir le montant actualisé au 1.7.2017, par 1,7069 au 1.10.2018), d'un pécule de vacances et d'une prime de fin d'année, ainsi que de frais professionnels forfaitaires (28 % du montant précité de 53.500 euros à indexer, à moins que le parlementaire n'opte pour le système de déclaration des frais réels); les frais professionnels forfaitaires sont exonérés d'impôts.</w:t>
      </w:r>
    </w:p>
    <w:p w:rsidR="001305F5" w:rsidRDefault="001305F5" w:rsidP="001305F5">
      <w:pPr>
        <w:pStyle w:val="NormalWeb"/>
      </w:pPr>
      <w:r>
        <w:t>      Il résulte de ce qui précède que les rétributions que les mandataires locaux pourront percevoir en 2018 du chef de leurs mandats originaires, mandats dérivés, mandats, fonctions et charges publics d'ordre politique tels que définis par le CDLD, art. L5111-1, ne pourront dépasser le montant de 187.185,66 euros bruts (montant à l'indice 1,6734 actualisé au 1.7.2017. A partir du 1.10.2018, il convient d’appliquer le nouvel indice 1,7069, ce qui donne un montant maximal de 190.929,37 euros).</w:t>
      </w:r>
    </w:p>
    <w:bookmarkStart w:id="45" w:name="_ftn14"/>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"_ftnref14" </w:instrText>
      </w:r>
      <w:r>
        <w:fldChar w:fldCharType="separate"/>
      </w:r>
      <w:r>
        <w:rPr>
          <w:rStyle w:val="Lienhypertexte"/>
        </w:rPr>
        <w:t>[14]</w:t>
      </w:r>
      <w:r>
        <w:fldChar w:fldCharType="end"/>
      </w:r>
      <w:bookmarkEnd w:id="45"/>
      <w:r>
        <w:t>    Ce principe a été rappelé dans une réponse à une question parlementaire par le Ministre de l'époque qui était interrogé sur la possibilité, pour un mandataire local, de solliciter de l'administration communale qu'elle verse directement une partie de son traitement à la section locale du parti politique de ce mandataire : Q.R. Ch., 12.2.2002, 2001-2002, (110), 12773-12775.</w:t>
      </w:r>
    </w:p>
    <w:bookmarkStart w:id="46" w:name="_ftn15"/>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"_ftnref15" </w:instrText>
      </w:r>
      <w:r>
        <w:fldChar w:fldCharType="separate"/>
      </w:r>
      <w:r>
        <w:rPr>
          <w:rStyle w:val="Lienhypertexte"/>
        </w:rPr>
        <w:t>[15]</w:t>
      </w:r>
      <w:r>
        <w:fldChar w:fldCharType="end"/>
      </w:r>
      <w:bookmarkEnd w:id="46"/>
      <w:r>
        <w:t xml:space="preserve">    Ces modalités sont fixées, jusqu'à présent, par l'A.R. 29.3.2000 (rel. à l'ancien art. 19 de la NLC) déterminant les modalités de majoration des jetons de présence des conseillers communaux et du traitement des bourgmestres et échevins, </w:t>
      </w:r>
      <w:r>
        <w:rPr>
          <w:rStyle w:val="Accentuation"/>
        </w:rPr>
        <w:t>M.B.</w:t>
      </w:r>
      <w:r>
        <w:t xml:space="preserve"> 13.4.2000. Voir aussi la circ. 12.5.2000 explicitant l'A.R. 29.3.2000, </w:t>
      </w:r>
      <w:r>
        <w:rPr>
          <w:rStyle w:val="Accentuation"/>
        </w:rPr>
        <w:t>M.B.</w:t>
      </w:r>
      <w:r>
        <w:t xml:space="preserve"> 3.6.2000.</w:t>
      </w:r>
    </w:p>
    <w:bookmarkStart w:id="47" w:name="_ftn16"/>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"_ftnref16" </w:instrText>
      </w:r>
      <w:r>
        <w:fldChar w:fldCharType="separate"/>
      </w:r>
      <w:r>
        <w:rPr>
          <w:rStyle w:val="Lienhypertexte"/>
        </w:rPr>
        <w:t>[16]</w:t>
      </w:r>
      <w:r>
        <w:fldChar w:fldCharType="end"/>
      </w:r>
      <w:bookmarkEnd w:id="47"/>
      <w:r>
        <w:t xml:space="preserve">    Pour des détails concernant cette notion de compensation, voir notre contribution in </w:t>
      </w:r>
      <w:r>
        <w:rPr>
          <w:rStyle w:val="Accentuation"/>
        </w:rPr>
        <w:t>Mouv. comm</w:t>
      </w:r>
      <w:r>
        <w:t>., 6-7/2007, pp. 321-322.</w:t>
      </w:r>
    </w:p>
    <w:bookmarkStart w:id="48" w:name="_ftn17"/>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"_ftnref17" </w:instrText>
      </w:r>
      <w:r>
        <w:fldChar w:fldCharType="separate"/>
      </w:r>
      <w:r>
        <w:rPr>
          <w:rStyle w:val="Lienhypertexte"/>
        </w:rPr>
        <w:t>[17]</w:t>
      </w:r>
      <w:r>
        <w:fldChar w:fldCharType="end"/>
      </w:r>
      <w:bookmarkEnd w:id="48"/>
      <w:r>
        <w:t>    Pour ce qui concerne le président de CPAS, voir L.O. art. 38, par. 1er.</w:t>
      </w:r>
    </w:p>
    <w:bookmarkStart w:id="49" w:name="_ftn18"/>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"_ftnref18" </w:instrText>
      </w:r>
      <w:r>
        <w:fldChar w:fldCharType="separate"/>
      </w:r>
      <w:r>
        <w:rPr>
          <w:rStyle w:val="Lienhypertexte"/>
        </w:rPr>
        <w:t>[18]</w:t>
      </w:r>
      <w:r>
        <w:fldChar w:fldCharType="end"/>
      </w:r>
      <w:bookmarkEnd w:id="49"/>
      <w:r>
        <w:t xml:space="preserve">    Ces avantages en nature sont listés par un arrêté du Gouvernement wallon du 31 mai 2018 (A.G.W. 31.5.2018 pris en exécution des art. L1123-15, L2212-45, L6411-1, L6421-1 et L6451-1 CDLD, </w:t>
      </w:r>
      <w:r>
        <w:rPr>
          <w:rStyle w:val="Accentuation"/>
        </w:rPr>
        <w:t>M.B.,</w:t>
      </w:r>
      <w:r>
        <w:t xml:space="preserve"> 18.6.2018). Pour davantage de détails sur le sujet, voy. L. Mendola, </w:t>
      </w:r>
      <w:r>
        <w:rPr>
          <w:rStyle w:val="Accentuation"/>
        </w:rPr>
        <w:t>Bonne gouvernance – Les modifications apportées au statut des mandataires locaux par les décrets du 29 mars 2018</w:t>
      </w:r>
      <w:r>
        <w:t>, UVCW, 2018 (</w:t>
      </w:r>
      <w:hyperlink r:id="rId6" w:history="1">
        <w:r>
          <w:rPr>
            <w:rStyle w:val="Lienhypertexte"/>
          </w:rPr>
          <w:t>http://www.uvcw.be/articles/3,17,2,0,7595.htm</w:t>
        </w:r>
      </w:hyperlink>
      <w:r>
        <w:t xml:space="preserve"> ).</w:t>
      </w:r>
    </w:p>
    <w:bookmarkStart w:id="50" w:name="_ftn19"/>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"_ftnref19" </w:instrText>
      </w:r>
      <w:r>
        <w:fldChar w:fldCharType="separate"/>
      </w:r>
      <w:r>
        <w:rPr>
          <w:rStyle w:val="Lienhypertexte"/>
        </w:rPr>
        <w:t>[19]</w:t>
      </w:r>
      <w:r>
        <w:fldChar w:fldCharType="end"/>
      </w:r>
      <w:bookmarkEnd w:id="50"/>
      <w:r>
        <w:t xml:space="preserve">    Ce qui implique la production de pièces afin d'attester l'engagement de ces frais. Dès lors, la doctrine est a priori rétive au remboursement forfaitaire; voir W. Somers et L. Van Summeren, </w:t>
      </w:r>
      <w:r>
        <w:rPr>
          <w:rStyle w:val="Accentuation"/>
        </w:rPr>
        <w:t>Le collège des bourgmestre et échevins</w:t>
      </w:r>
      <w:r>
        <w:t>, La Charte, 1991, pp. 136 et ss.</w:t>
      </w:r>
    </w:p>
    <w:bookmarkStart w:id="51" w:name="_ftn20"/>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"_ftnref20" </w:instrText>
      </w:r>
      <w:r>
        <w:fldChar w:fldCharType="separate"/>
      </w:r>
      <w:r>
        <w:rPr>
          <w:rStyle w:val="Lienhypertexte"/>
        </w:rPr>
        <w:t>[20]</w:t>
      </w:r>
      <w:r>
        <w:fldChar w:fldCharType="end"/>
      </w:r>
      <w:bookmarkEnd w:id="51"/>
      <w:r>
        <w:t xml:space="preserve">   La notion de remboursement des frais réels exclut l'application d'un forfait: il conviendra donc que les intéressés produisent des pièces justificatives à l'appui de leur demande de remboursement.        </w:t>
      </w:r>
    </w:p>
    <w:bookmarkStart w:id="52" w:name="_ftn21"/>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"_ftnref21" </w:instrText>
      </w:r>
      <w:r>
        <w:fldChar w:fldCharType="separate"/>
      </w:r>
      <w:r>
        <w:rPr>
          <w:rStyle w:val="Lienhypertexte"/>
        </w:rPr>
        <w:t>[21]</w:t>
      </w:r>
      <w:r>
        <w:fldChar w:fldCharType="end"/>
      </w:r>
      <w:bookmarkEnd w:id="52"/>
      <w:r>
        <w:t xml:space="preserve">   W. Somers et L. Van Summeren, </w:t>
      </w:r>
      <w:r>
        <w:rPr>
          <w:rStyle w:val="Accentuation"/>
        </w:rPr>
        <w:t>Le collège des bourgmestre et échevins</w:t>
      </w:r>
      <w:r>
        <w:t>, Bruges, La Charte, 1991, p. 138.</w:t>
      </w:r>
    </w:p>
    <w:bookmarkStart w:id="53" w:name="_ftn22"/>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"_ftnref22" </w:instrText>
      </w:r>
      <w:r>
        <w:fldChar w:fldCharType="separate"/>
      </w:r>
      <w:r>
        <w:rPr>
          <w:rStyle w:val="Lienhypertexte"/>
        </w:rPr>
        <w:t>[22]</w:t>
      </w:r>
      <w:r>
        <w:fldChar w:fldCharType="end"/>
      </w:r>
      <w:bookmarkEnd w:id="53"/>
      <w:r>
        <w:t>    Q. et R.,Ch., 18.06.1985, 1984-85, (30), 3397-3398, Q. et R., Sén., 18.12.1979, 1979-80, 495-496, Q. et R., Sén., 07.03.1978, 1977-78, (22), 870, Q. et R., Sén., 14.08.1990, 1989-90, (44), 2071-2072.</w:t>
      </w:r>
    </w:p>
    <w:bookmarkStart w:id="54" w:name="_ftn23"/>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"_ftnref23" </w:instrText>
      </w:r>
      <w:r>
        <w:fldChar w:fldCharType="separate"/>
      </w:r>
      <w:r>
        <w:rPr>
          <w:rStyle w:val="Lienhypertexte"/>
        </w:rPr>
        <w:t>[23]</w:t>
      </w:r>
      <w:r>
        <w:fldChar w:fldCharType="end"/>
      </w:r>
      <w:bookmarkEnd w:id="54"/>
      <w:r>
        <w:t>    CDLD, art. L3122-2</w:t>
      </w:r>
    </w:p>
    <w:bookmarkStart w:id="55" w:name="_ftn24"/>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"_ftnref24" </w:instrText>
      </w:r>
      <w:r>
        <w:fldChar w:fldCharType="separate"/>
      </w:r>
      <w:r>
        <w:rPr>
          <w:rStyle w:val="Lienhypertexte"/>
        </w:rPr>
        <w:t>[24]</w:t>
      </w:r>
      <w:r>
        <w:fldChar w:fldCharType="end"/>
      </w:r>
      <w:bookmarkEnd w:id="55"/>
      <w:r>
        <w:t xml:space="preserve">   Voir à ce sujet Q.R., Sénat, sess. ord. 1979-1980, question n° 33 du 28.11.1979, p. 495 (M. Claeys); Q.R., PW, sess. ord. 2010-2011, question n° 597 du 30.8.2011 (C. Eerdekens).</w:t>
      </w:r>
    </w:p>
    <w:bookmarkStart w:id="56" w:name="_ftn25"/>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"_ftnref25" </w:instrText>
      </w:r>
      <w:r>
        <w:fldChar w:fldCharType="separate"/>
      </w:r>
      <w:r>
        <w:rPr>
          <w:rStyle w:val="Lienhypertexte"/>
        </w:rPr>
        <w:t>[25]</w:t>
      </w:r>
      <w:r>
        <w:fldChar w:fldCharType="end"/>
      </w:r>
      <w:bookmarkEnd w:id="56"/>
      <w:r>
        <w:t>    L'autorité locale peut, par exemple, s'inspirer des dispositions portées par l'A.R. 29.12.1965 portant réglementation générale en matière d'indemnités pour frais de parcours résultant de déplacements de service effectués par le personnel des provinces et des communes (</w:t>
      </w:r>
      <w:r>
        <w:rPr>
          <w:rStyle w:val="Accentuation"/>
        </w:rPr>
        <w:t>M.B., </w:t>
      </w:r>
      <w:r>
        <w:t xml:space="preserve">26.1.1966), ou de la réglementation applicable aux agents de l'Etat (A.R. portant réglementation générale en matière de frais de parcours, </w:t>
      </w:r>
      <w:r>
        <w:rPr>
          <w:rStyle w:val="Accentuation"/>
        </w:rPr>
        <w:t>M.B.,</w:t>
      </w:r>
      <w:r>
        <w:t xml:space="preserve"> 2.2.1965); elle peut également décider de faire application de la circ. 31.8.2006 rel. à l'octroi d'allocations et d'indemnités dans la Fonction publique locale, </w:t>
      </w:r>
      <w:r>
        <w:rPr>
          <w:rStyle w:val="Accentuation"/>
        </w:rPr>
        <w:t>M.B.</w:t>
      </w:r>
      <w:r>
        <w:t xml:space="preserve"> 12.9.2006.</w:t>
      </w:r>
    </w:p>
    <w:bookmarkStart w:id="57" w:name="_ftn26"/>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"_ftnref26" </w:instrText>
      </w:r>
      <w:r>
        <w:fldChar w:fldCharType="separate"/>
      </w:r>
      <w:r>
        <w:rPr>
          <w:rStyle w:val="Lienhypertexte"/>
        </w:rPr>
        <w:t>[26]</w:t>
      </w:r>
      <w:r>
        <w:fldChar w:fldCharType="end"/>
      </w:r>
      <w:bookmarkEnd w:id="57"/>
      <w:r>
        <w:t xml:space="preserve">   C.E., 9.5.1988, n° 30.018.</w:t>
      </w:r>
    </w:p>
    <w:bookmarkStart w:id="58" w:name="_ftn27"/>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"_ftnref27" </w:instrText>
      </w:r>
      <w:r>
        <w:fldChar w:fldCharType="separate"/>
      </w:r>
      <w:r>
        <w:rPr>
          <w:rStyle w:val="Lienhypertexte"/>
        </w:rPr>
        <w:t>[27]</w:t>
      </w:r>
      <w:r>
        <w:fldChar w:fldCharType="end"/>
      </w:r>
      <w:bookmarkEnd w:id="58"/>
      <w:r>
        <w:t>    Voir circ. 27.7.1973 Min. Int. pour les accidents qui arrivent par ou au cours de l'exercice du mandat. Notons que certaines communes prévoient l'obligation des membres du collège de souscrire à ce type d'assurance.</w:t>
      </w:r>
    </w:p>
    <w:bookmarkStart w:id="59" w:name="_ftn28"/>
    <w:p w:rsidR="001305F5" w:rsidRDefault="001305F5" w:rsidP="001305F5">
      <w:pPr>
        <w:pStyle w:val="NormalWeb"/>
      </w:pPr>
      <w:r>
        <w:fldChar w:fldCharType="begin"/>
      </w:r>
      <w:r>
        <w:instrText xml:space="preserve"> HYPERLINK "file:///C:\\Users\\nde\\Desktop\\FOCUS%20POUR%20NDE\\FOCUS%20SUR%20LA%20COMMUNE%20mise%20%C3%A0%20jour%202018\\A4FONCTIONNEMENT%20DE%20LA%20COMMUNE%20STATUT%20MANDATAIRE\\Fiche%201%20-%202146%20-%20Statut%20mand%20TRAITEMENT%202018.docx" \l "_ftnref28" </w:instrText>
      </w:r>
      <w:r>
        <w:fldChar w:fldCharType="separate"/>
      </w:r>
      <w:r>
        <w:rPr>
          <w:rStyle w:val="Lienhypertexte"/>
        </w:rPr>
        <w:t>[28]</w:t>
      </w:r>
      <w:r>
        <w:fldChar w:fldCharType="end"/>
      </w:r>
      <w:bookmarkEnd w:id="59"/>
      <w:r>
        <w:t>    Voir en ce sens Q. et R., PW, 30.9.2005, 2005-2006, (1), 27-28; voir également Q. R., PW, 15.1.2002, sess. ord. 2001-2002, p.38.</w:t>
      </w:r>
    </w:p>
    <w:p w:rsidR="00916D85" w:rsidRPr="00916D85" w:rsidRDefault="00916D85" w:rsidP="001305F5">
      <w:pPr>
        <w:pStyle w:val="NormalWeb"/>
        <w:rPr>
          <w:b/>
        </w:rPr>
      </w:pPr>
      <w:r>
        <w:rPr>
          <w:b/>
        </w:rPr>
        <w:t>Le montant du jeton de présence calculé selon les principes décrits ci-après est de 98.97€ brut (déjà indexé).</w:t>
      </w:r>
    </w:p>
    <w:p w:rsidR="00916D85" w:rsidRDefault="00916D85" w:rsidP="00916D85">
      <w:pPr>
        <w:pStyle w:val="Titre3"/>
      </w:pPr>
      <w:bookmarkStart w:id="60" w:name="_Toc133672650"/>
      <w:r>
        <w:t>1. Les principes d'octroi des jetons de présence</w:t>
      </w:r>
      <w:bookmarkEnd w:id="60"/>
    </w:p>
    <w:p w:rsidR="00916D85" w:rsidRDefault="00916D85" w:rsidP="00916D85">
      <w:pPr>
        <w:pStyle w:val="NormalWeb"/>
      </w:pPr>
      <w:r>
        <w:t>1.  L'article L1122-7 du Code de la démocratie locale et de la décentralisation dispose que les conseillers communaux ne perçoivent aucun traitement. Il est cependant prévu l'octroi d'un jeton de présence quand les conseillers communaux assistent aux réunions du conseil, des commissions et sections. Depuis la réforme du Code de la démocratie locale et de la décentralisation par le décret du 8 décembre 2005, le Gouvernement wallon est habilité à arrêter les conditions et modalités selon lesquelles ces jetons leur sont attribués</w:t>
      </w:r>
      <w:hyperlink r:id="rId7" w:anchor="_ftn1" w:history="1">
        <w:r>
          <w:rPr>
            <w:rStyle w:val="Lienhypertexte"/>
          </w:rPr>
          <w:t>[1]</w:t>
        </w:r>
      </w:hyperlink>
      <w:r>
        <w:t>.</w:t>
      </w:r>
    </w:p>
    <w:p w:rsidR="00916D85" w:rsidRDefault="00916D85" w:rsidP="00916D85">
      <w:pPr>
        <w:pStyle w:val="NormalWeb"/>
      </w:pPr>
      <w:r>
        <w:t>     Notons toutefois que le montant du jeton de présence reste fixé par le conseil communal: son montant se situe entre 37,18 euros et 125 euros (montant du jeton provincial) et est adapté en application des règles de liaison à l'indice des prix</w:t>
      </w:r>
      <w:hyperlink r:id="rId8" w:anchor="_ftn2" w:history="1">
        <w:r>
          <w:rPr>
            <w:rStyle w:val="Lienhypertexte"/>
          </w:rPr>
          <w:t>[2]</w:t>
        </w:r>
      </w:hyperlink>
      <w:r>
        <w:t>.</w:t>
      </w:r>
    </w:p>
    <w:p w:rsidR="00916D85" w:rsidRDefault="00916D85" w:rsidP="00916D85">
      <w:pPr>
        <w:pStyle w:val="NormalWeb"/>
      </w:pPr>
      <w:r>
        <w:t>     En vertu de l'article L1122-7, par. 1er tel que modifié par le décret du 26 avril 2012</w:t>
      </w:r>
      <w:bookmarkStart w:id="61" w:name="_ftnref3"/>
      <w:r>
        <w:fldChar w:fldCharType="begin"/>
      </w:r>
      <w:r>
        <w:instrText xml:space="preserve"> HYPERLINK "http://www.uvcw.be/articles/3,17,2,0,2147.htm" \l "_ftn3" </w:instrText>
      </w:r>
      <w:r>
        <w:fldChar w:fldCharType="separate"/>
      </w:r>
      <w:r>
        <w:rPr>
          <w:rStyle w:val="Lienhypertexte"/>
        </w:rPr>
        <w:t>[3]</w:t>
      </w:r>
      <w:r>
        <w:fldChar w:fldCharType="end"/>
      </w:r>
      <w:bookmarkEnd w:id="61"/>
      <w:r>
        <w:t>, le président du conseil (désigné sur base de l'art. L1122-34, par. 3) perçoit quant à lui un double jeton de présence.</w:t>
      </w:r>
    </w:p>
    <w:p w:rsidR="00916D85" w:rsidRDefault="00916D85" w:rsidP="00916D85">
      <w:pPr>
        <w:pStyle w:val="NormalWeb"/>
      </w:pPr>
      <w:r>
        <w:t>     Le conseiller communal ne peut renoncer au bénéfice du jeton de présence (sauf les cas de réduction de traitement en cas de dépassement de la limite d'une fois et demie le montant de l'indemnité parlementaire, v. infra, selon les modalités à arrêter par l'Exécutif wallon).</w:t>
      </w:r>
    </w:p>
    <w:p w:rsidR="00916D85" w:rsidRDefault="001818FF" w:rsidP="00916D85">
      <w:pPr>
        <w:pStyle w:val="NormalWeb"/>
      </w:pPr>
      <w:r>
        <w:t> </w:t>
      </w:r>
      <w:r w:rsidR="00916D85">
        <w:t>  Comme pour les mandataires exécutifs, les conseillers communaux peuvent solliciter une majoration de leurs jetons de présence en cas de perte d'un revenu de remplacement.</w:t>
      </w:r>
    </w:p>
    <w:p w:rsidR="00916D85" w:rsidRDefault="00916D85" w:rsidP="00916D85">
      <w:pPr>
        <w:pStyle w:val="NormalWeb"/>
      </w:pPr>
      <w:r>
        <w:t>     Le montant maximum absolu de jetons attribuables prévu par le Code de la démocratie locale et de la décentralisation équivaut au traitement d'un échevin d'une commune de 50.000 habitants.</w:t>
      </w:r>
    </w:p>
    <w:p w:rsidR="00916D85" w:rsidRDefault="00916D85" w:rsidP="00916D85">
      <w:pPr>
        <w:pStyle w:val="NormalWeb"/>
      </w:pPr>
      <w:r>
        <w:t>2. Spécificité du président de CPAS</w:t>
      </w:r>
    </w:p>
    <w:p w:rsidR="00916D85" w:rsidRDefault="00916D85" w:rsidP="00916D85">
      <w:pPr>
        <w:pStyle w:val="NormalWeb"/>
      </w:pPr>
      <w:r>
        <w:t>     Depuis la réforme de 2005, le président de CPAS, en sa qualité de membre du collège communal, assiste aux séances du conseil communal.</w:t>
      </w:r>
    </w:p>
    <w:p w:rsidR="00916D85" w:rsidRDefault="00916D85" w:rsidP="00FB72DB">
      <w:pPr>
        <w:pStyle w:val="NormalWeb"/>
      </w:pPr>
      <w:r>
        <w:t>     Deux cas de figure sont à distinguer: si le président de CPAS a été élu au conseil communal, il est conseiller communal à part entière et bénéficie, en cette qualité, de jetons de présence</w:t>
      </w:r>
      <w:hyperlink r:id="rId9" w:anchor="_ftn4" w:history="1">
        <w:r>
          <w:rPr>
            <w:rStyle w:val="Lienhypertexte"/>
          </w:rPr>
          <w:t>[4]</w:t>
        </w:r>
      </w:hyperlink>
      <w:r>
        <w:t>. Si, par contre, il n'a pas été élu au conseil communal, il y est présent (il dispose dans ce cas d'une voix consultative), mais n'en acquiert pas pour autant la qualité de conseiller communal: il ne bénéficiera donc pas du jeton de présence découlant de cette qualité. </w:t>
      </w:r>
    </w:p>
    <w:p w:rsidR="00916D85" w:rsidRDefault="00916D85" w:rsidP="00916D85">
      <w:pPr>
        <w:pStyle w:val="Titre3"/>
      </w:pPr>
      <w:r>
        <w:t>2. Le statut fiscal des jetons de présence</w:t>
      </w:r>
    </w:p>
    <w:p w:rsidR="00916D85" w:rsidRDefault="00916D85" w:rsidP="00916D85">
      <w:pPr>
        <w:pStyle w:val="NormalWeb"/>
      </w:pPr>
      <w:r>
        <w:t>Les jetons de présence attribués aux conseillers communaux sont considérés fiscalement comme des profits au sens des articles 23, par. 1er, et 27 du Code des impôts sur les revenus (</w:t>
      </w:r>
      <w:bookmarkStart w:id="62" w:name="Définition_du_terme_«_CIR_92_»"/>
      <w:proofErr w:type="spellStart"/>
      <w:r>
        <w:fldChar w:fldCharType="begin"/>
      </w:r>
      <w:r>
        <w:instrText xml:space="preserve"> HYPERLINK "http://www.uvcw.be/javascript/jquery-tooltip/ajax.cfm?width=425&amp;idAcronyme=42" </w:instrText>
      </w:r>
      <w:r>
        <w:fldChar w:fldCharType="separate"/>
      </w:r>
      <w:proofErr w:type="spellEnd"/>
      <w:r>
        <w:rPr>
          <w:rStyle w:val="Lienhypertexte"/>
        </w:rPr>
        <w:t>CIR 92</w:t>
      </w:r>
      <w:r>
        <w:fldChar w:fldCharType="end"/>
      </w:r>
      <w:bookmarkEnd w:id="62"/>
      <w:r>
        <w:t>)</w:t>
      </w:r>
      <w:hyperlink r:id="rId10" w:anchor="_ftn5" w:history="1">
        <w:r>
          <w:rPr>
            <w:rStyle w:val="Lienhypertexte"/>
          </w:rPr>
          <w:t>[5]</w:t>
        </w:r>
      </w:hyperlink>
      <w:r>
        <w:t xml:space="preserve"> et doivent être déclarés comme tels (partie 2 de la déclaration fiscale, code 1650/2650). Le précompte retenu sur ces jetons doit quant à lui être déclaré dans la rubrique 1758/2758.</w:t>
      </w:r>
    </w:p>
    <w:p w:rsidR="00916D85" w:rsidRDefault="00916D85" w:rsidP="00916D85">
      <w:pPr>
        <w:pStyle w:val="NormalWeb"/>
      </w:pPr>
      <w:r>
        <w:t>Les taux de retenue de précompte professionnel sur ces jetons sont les suivants</w:t>
      </w:r>
      <w:hyperlink r:id="rId11" w:anchor="_ftn6" w:history="1">
        <w:r>
          <w:rPr>
            <w:rStyle w:val="Lienhypertexte"/>
          </w:rPr>
          <w:t>[6]</w:t>
        </w:r>
      </w:hyperlink>
      <w:r>
        <w:t>:</w:t>
      </w:r>
    </w:p>
    <w:tbl>
      <w:tblPr>
        <w:tblW w:w="4949"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4"/>
        <w:gridCol w:w="4583"/>
      </w:tblGrid>
      <w:tr w:rsidR="00916D85" w:rsidTr="00916D85">
        <w:trPr>
          <w:tblCellSpacing w:w="7" w:type="dxa"/>
        </w:trPr>
        <w:tc>
          <w:tcPr>
            <w:tcW w:w="2452" w:type="pct"/>
            <w:tcBorders>
              <w:top w:val="outset" w:sz="6" w:space="0" w:color="auto"/>
              <w:left w:val="outset" w:sz="6" w:space="0" w:color="auto"/>
              <w:bottom w:val="outset" w:sz="6" w:space="0" w:color="auto"/>
              <w:right w:val="outset" w:sz="6" w:space="0" w:color="auto"/>
            </w:tcBorders>
            <w:vAlign w:val="center"/>
            <w:hideMark/>
          </w:tcPr>
          <w:p w:rsidR="00916D85" w:rsidRDefault="00916D85">
            <w:pPr>
              <w:pStyle w:val="NormalWeb"/>
            </w:pPr>
            <w:r>
              <w:rPr>
                <w:rStyle w:val="Accentuation"/>
                <w:b/>
                <w:bCs/>
              </w:rPr>
              <w:t>Montant des jetons de présence</w:t>
            </w:r>
          </w:p>
        </w:tc>
        <w:tc>
          <w:tcPr>
            <w:tcW w:w="2524" w:type="pct"/>
            <w:tcBorders>
              <w:top w:val="outset" w:sz="6" w:space="0" w:color="auto"/>
              <w:left w:val="outset" w:sz="6" w:space="0" w:color="auto"/>
              <w:bottom w:val="outset" w:sz="6" w:space="0" w:color="auto"/>
              <w:right w:val="outset" w:sz="6" w:space="0" w:color="auto"/>
            </w:tcBorders>
            <w:vAlign w:val="center"/>
            <w:hideMark/>
          </w:tcPr>
          <w:p w:rsidR="00916D85" w:rsidRDefault="00916D85">
            <w:pPr>
              <w:pStyle w:val="NormalWeb"/>
            </w:pPr>
            <w:r>
              <w:rPr>
                <w:rStyle w:val="Accentuation"/>
                <w:b/>
                <w:bCs/>
              </w:rPr>
              <w:t>Pourcentage de précompte professionnel dû sur le montant total des jetons de présence</w:t>
            </w:r>
          </w:p>
        </w:tc>
      </w:tr>
      <w:tr w:rsidR="00916D85" w:rsidTr="00916D85">
        <w:trPr>
          <w:tblCellSpacing w:w="7" w:type="dxa"/>
        </w:trPr>
        <w:tc>
          <w:tcPr>
            <w:tcW w:w="2452" w:type="pct"/>
            <w:tcBorders>
              <w:top w:val="outset" w:sz="6" w:space="0" w:color="auto"/>
              <w:left w:val="outset" w:sz="6" w:space="0" w:color="auto"/>
              <w:bottom w:val="outset" w:sz="6" w:space="0" w:color="auto"/>
              <w:right w:val="outset" w:sz="6" w:space="0" w:color="auto"/>
            </w:tcBorders>
            <w:vAlign w:val="center"/>
            <w:hideMark/>
          </w:tcPr>
          <w:p w:rsidR="00916D85" w:rsidRDefault="00916D85">
            <w:pPr>
              <w:rPr>
                <w:sz w:val="24"/>
                <w:szCs w:val="24"/>
              </w:rPr>
            </w:pPr>
          </w:p>
        </w:tc>
        <w:tc>
          <w:tcPr>
            <w:tcW w:w="2524" w:type="pct"/>
            <w:tcBorders>
              <w:top w:val="outset" w:sz="6" w:space="0" w:color="auto"/>
              <w:left w:val="outset" w:sz="6" w:space="0" w:color="auto"/>
              <w:bottom w:val="outset" w:sz="6" w:space="0" w:color="auto"/>
              <w:right w:val="outset" w:sz="6" w:space="0" w:color="auto"/>
            </w:tcBorders>
            <w:vAlign w:val="center"/>
            <w:hideMark/>
          </w:tcPr>
          <w:p w:rsidR="00916D85" w:rsidRDefault="00916D85">
            <w:pPr>
              <w:rPr>
                <w:sz w:val="24"/>
                <w:szCs w:val="24"/>
              </w:rPr>
            </w:pPr>
          </w:p>
        </w:tc>
      </w:tr>
      <w:tr w:rsidR="00916D85" w:rsidTr="00916D85">
        <w:trPr>
          <w:tblCellSpacing w:w="7" w:type="dxa"/>
        </w:trPr>
        <w:tc>
          <w:tcPr>
            <w:tcW w:w="2452" w:type="pct"/>
            <w:tcBorders>
              <w:top w:val="outset" w:sz="6" w:space="0" w:color="auto"/>
              <w:left w:val="outset" w:sz="6" w:space="0" w:color="auto"/>
              <w:bottom w:val="outset" w:sz="6" w:space="0" w:color="auto"/>
              <w:right w:val="outset" w:sz="6" w:space="0" w:color="auto"/>
            </w:tcBorders>
            <w:vAlign w:val="center"/>
            <w:hideMark/>
          </w:tcPr>
          <w:p w:rsidR="00916D85" w:rsidRDefault="00916D85">
            <w:pPr>
              <w:pStyle w:val="NormalWeb"/>
            </w:pPr>
            <w:r>
              <w:t>jusqu'à 500,00 euros</w:t>
            </w:r>
          </w:p>
        </w:tc>
        <w:tc>
          <w:tcPr>
            <w:tcW w:w="2524" w:type="pct"/>
            <w:tcBorders>
              <w:top w:val="outset" w:sz="6" w:space="0" w:color="auto"/>
              <w:left w:val="outset" w:sz="6" w:space="0" w:color="auto"/>
              <w:bottom w:val="outset" w:sz="6" w:space="0" w:color="auto"/>
              <w:right w:val="outset" w:sz="6" w:space="0" w:color="auto"/>
            </w:tcBorders>
            <w:vAlign w:val="center"/>
            <w:hideMark/>
          </w:tcPr>
          <w:p w:rsidR="00916D85" w:rsidRDefault="00916D85">
            <w:pPr>
              <w:pStyle w:val="NormalWeb"/>
            </w:pPr>
            <w:r>
              <w:t>27,25</w:t>
            </w:r>
          </w:p>
        </w:tc>
      </w:tr>
      <w:tr w:rsidR="00916D85" w:rsidTr="00916D85">
        <w:trPr>
          <w:tblCellSpacing w:w="7" w:type="dxa"/>
        </w:trPr>
        <w:tc>
          <w:tcPr>
            <w:tcW w:w="2452" w:type="pct"/>
            <w:tcBorders>
              <w:top w:val="outset" w:sz="6" w:space="0" w:color="auto"/>
              <w:left w:val="outset" w:sz="6" w:space="0" w:color="auto"/>
              <w:bottom w:val="outset" w:sz="6" w:space="0" w:color="auto"/>
              <w:right w:val="outset" w:sz="6" w:space="0" w:color="auto"/>
            </w:tcBorders>
            <w:vAlign w:val="center"/>
            <w:hideMark/>
          </w:tcPr>
          <w:p w:rsidR="00916D85" w:rsidRDefault="00916D85">
            <w:pPr>
              <w:pStyle w:val="NormalWeb"/>
            </w:pPr>
            <w:r>
              <w:t>de 500,01 euros à 650,00 euros</w:t>
            </w:r>
          </w:p>
        </w:tc>
        <w:tc>
          <w:tcPr>
            <w:tcW w:w="2524" w:type="pct"/>
            <w:tcBorders>
              <w:top w:val="outset" w:sz="6" w:space="0" w:color="auto"/>
              <w:left w:val="outset" w:sz="6" w:space="0" w:color="auto"/>
              <w:bottom w:val="outset" w:sz="6" w:space="0" w:color="auto"/>
              <w:right w:val="outset" w:sz="6" w:space="0" w:color="auto"/>
            </w:tcBorders>
            <w:vAlign w:val="center"/>
            <w:hideMark/>
          </w:tcPr>
          <w:p w:rsidR="00916D85" w:rsidRDefault="00916D85">
            <w:pPr>
              <w:pStyle w:val="NormalWeb"/>
            </w:pPr>
            <w:r>
              <w:t>32,30</w:t>
            </w:r>
          </w:p>
        </w:tc>
      </w:tr>
      <w:tr w:rsidR="00916D85" w:rsidTr="00916D85">
        <w:trPr>
          <w:tblCellSpacing w:w="7" w:type="dxa"/>
        </w:trPr>
        <w:tc>
          <w:tcPr>
            <w:tcW w:w="2452" w:type="pct"/>
            <w:tcBorders>
              <w:top w:val="outset" w:sz="6" w:space="0" w:color="auto"/>
              <w:left w:val="outset" w:sz="6" w:space="0" w:color="auto"/>
              <w:bottom w:val="outset" w:sz="6" w:space="0" w:color="auto"/>
              <w:right w:val="outset" w:sz="6" w:space="0" w:color="auto"/>
            </w:tcBorders>
            <w:vAlign w:val="center"/>
            <w:hideMark/>
          </w:tcPr>
          <w:p w:rsidR="00916D85" w:rsidRDefault="00916D85">
            <w:pPr>
              <w:pStyle w:val="NormalWeb"/>
            </w:pPr>
            <w:r>
              <w:t>supérieur à 650,00 euros</w:t>
            </w:r>
          </w:p>
        </w:tc>
        <w:tc>
          <w:tcPr>
            <w:tcW w:w="2524" w:type="pct"/>
            <w:tcBorders>
              <w:top w:val="outset" w:sz="6" w:space="0" w:color="auto"/>
              <w:left w:val="outset" w:sz="6" w:space="0" w:color="auto"/>
              <w:bottom w:val="outset" w:sz="6" w:space="0" w:color="auto"/>
              <w:right w:val="outset" w:sz="6" w:space="0" w:color="auto"/>
            </w:tcBorders>
            <w:vAlign w:val="center"/>
            <w:hideMark/>
          </w:tcPr>
          <w:p w:rsidR="00916D85" w:rsidRDefault="00916D85">
            <w:pPr>
              <w:pStyle w:val="NormalWeb"/>
            </w:pPr>
            <w:r>
              <w:t>37,35</w:t>
            </w:r>
          </w:p>
        </w:tc>
      </w:tr>
    </w:tbl>
    <w:p w:rsidR="00916D85" w:rsidRDefault="00916D85" w:rsidP="00916D85">
      <w:r>
        <w:pict>
          <v:rect id="_x0000_i1026" style="width:0;height:1.5pt" o:hralign="center" o:hrstd="t" o:hr="t" fillcolor="#a0a0a0" stroked="f"/>
        </w:pict>
      </w:r>
    </w:p>
    <w:p w:rsidR="00916D85" w:rsidRDefault="00916D85" w:rsidP="00916D85">
      <w:pPr>
        <w:pStyle w:val="NormalWeb"/>
      </w:pPr>
      <w:hyperlink r:id="rId12" w:anchor="_ftnref1" w:history="1">
        <w:r>
          <w:rPr>
            <w:rStyle w:val="Lienhypertexte"/>
          </w:rPr>
          <w:t>[1]</w:t>
        </w:r>
      </w:hyperlink>
      <w:r>
        <w:t xml:space="preserve">     Les travaux préparatoires du décr. 8.12.2005 mod. certaines dispositions du </w:t>
      </w:r>
      <w:hyperlink r:id="rId13" w:history="1">
        <w:r>
          <w:rPr>
            <w:rStyle w:val="Lienhypertexte"/>
          </w:rPr>
          <w:t>CDLD</w:t>
        </w:r>
      </w:hyperlink>
      <w:r>
        <w:t xml:space="preserve"> révèlent que le but est de tendre vers un parallélisme avec les dispositions applicables aux conseillers de l'aide sociale qui prévoient notamment des conditions de présence minimale à une réunion pour bénéficier d'un jeton de présence (conditions portées par l'A.R. 15.12.1977, M.B. 22.12.1977). Au moment d'écrire ces lignes, aucun arrêté du Gouvernement wallon n'avait été pris en ce qui concerne les modalités d'octroi de jetons de présence aux conseillers communaux.</w:t>
      </w:r>
    </w:p>
    <w:p w:rsidR="00916D85" w:rsidRDefault="00916D85" w:rsidP="00916D85">
      <w:pPr>
        <w:pStyle w:val="NormalWeb"/>
      </w:pPr>
      <w:hyperlink r:id="rId14" w:anchor="_ftnref2" w:history="1">
        <w:r>
          <w:rPr>
            <w:rStyle w:val="Lienhypertexte"/>
          </w:rPr>
          <w:t>[2]</w:t>
        </w:r>
      </w:hyperlink>
      <w:r>
        <w:t>     CDLD L1122-7, §1er, al. 5.</w:t>
      </w:r>
    </w:p>
    <w:p w:rsidR="00916D85" w:rsidRDefault="00916D85" w:rsidP="00916D85">
      <w:pPr>
        <w:pStyle w:val="NormalWeb"/>
      </w:pPr>
      <w:hyperlink r:id="rId15" w:anchor="_ftnref3" w:history="1">
        <w:r>
          <w:rPr>
            <w:rStyle w:val="Lienhypertexte"/>
          </w:rPr>
          <w:t>[3]</w:t>
        </w:r>
      </w:hyperlink>
      <w:r>
        <w:t>      Décr. 26.4.2012 mod. certaines dispositions du CDLD, MB 14.5.2012</w:t>
      </w:r>
    </w:p>
    <w:p w:rsidR="00916D85" w:rsidRDefault="00916D85" w:rsidP="00916D85">
      <w:pPr>
        <w:pStyle w:val="NormalWeb"/>
      </w:pPr>
      <w:hyperlink r:id="rId16" w:anchor="_ftnref4" w:history="1">
        <w:r>
          <w:rPr>
            <w:rStyle w:val="Lienhypertexte"/>
          </w:rPr>
          <w:t>[4]</w:t>
        </w:r>
      </w:hyperlink>
      <w:r>
        <w:t>     La disposition qui empêche les mandataires exécutifs communaux de bénéficier de jetons de présence aux séances du conseil (en application de l'art. L1123-15, par. 3, CDLD)ne s'applique pas au président de CPAS, dès lors que ne sont pas visés les "membres du collège communal", mais spécifiquement les "bourgmestre et échevins". Le jeton de présence pour l'assistance aux séances du conseil communal étant à charge de la commune et non du CPAS, l'art. 3 de l'A.R.  15.12.1977 rel. au traitement des présidents et aux jetons de présence des membres des conseils de l'aide sociale n'entraîne pas non plus l'interdiction pour le président-conseiller communal de percevoir un jeton de présence pour les séances du conseil communal, dès lors que ce jeton est à charge de la commune, et non du CPAS comme visé par l'article 3 précité.</w:t>
      </w:r>
    </w:p>
    <w:p w:rsidR="00916D85" w:rsidRDefault="00916D85" w:rsidP="00916D85">
      <w:pPr>
        <w:pStyle w:val="NormalWeb"/>
      </w:pPr>
      <w:hyperlink r:id="rId17" w:anchor="_ftnref5" w:history="1">
        <w:r>
          <w:rPr>
            <w:rStyle w:val="Lienhypertexte"/>
          </w:rPr>
          <w:t>[5]</w:t>
        </w:r>
      </w:hyperlink>
      <w:r>
        <w:t>     Voir en ce sens le commentaire n° 23/169 de la base de données Fisconetplus du SPF Finances qui élargit la portée de l'art. 27, 6°, CIR/92 aux jetons de présence alloués aux membres des conseils communaux (fisconetplus.be). Voir également Q.R. Ch., 25.4.2005, 2004-2005, (75), 12558-12560.</w:t>
      </w:r>
    </w:p>
    <w:p w:rsidR="00916D85" w:rsidRDefault="00916D85" w:rsidP="00916D85">
      <w:pPr>
        <w:pStyle w:val="NormalWeb"/>
      </w:pPr>
      <w:hyperlink r:id="rId18" w:anchor="_ftnref6" w:history="1">
        <w:r>
          <w:rPr>
            <w:rStyle w:val="Lienhypertexte"/>
          </w:rPr>
          <w:t>[6]</w:t>
        </w:r>
      </w:hyperlink>
      <w:r>
        <w:t>     AR/CIR 92, annexe III, consultable sur fisconetplus.be, points 7.1 et 2.17 combinés.</w:t>
      </w:r>
    </w:p>
    <w:p w:rsidR="00FB72DB" w:rsidRDefault="00FB72DB" w:rsidP="00916D85">
      <w:pPr>
        <w:pStyle w:val="NormalWeb"/>
        <w:rPr>
          <w:b/>
        </w:rPr>
      </w:pPr>
      <w:r>
        <w:rPr>
          <w:b/>
        </w:rPr>
        <w:t>En dehors de ce qui précède</w:t>
      </w:r>
      <w:r w:rsidR="00CC735D">
        <w:rPr>
          <w:b/>
        </w:rPr>
        <w:t>,</w:t>
      </w:r>
      <w:r>
        <w:rPr>
          <w:b/>
        </w:rPr>
        <w:t xml:space="preserve"> la commune de Remicourt n’octroie aucun autre avantage de quelque nature que ce soit.</w:t>
      </w:r>
    </w:p>
    <w:p w:rsidR="00CC735D" w:rsidRDefault="00FB72DB" w:rsidP="00916D85">
      <w:pPr>
        <w:pStyle w:val="NormalWeb"/>
        <w:rPr>
          <w:b/>
        </w:rPr>
      </w:pPr>
      <w:r>
        <w:rPr>
          <w:b/>
        </w:rPr>
        <w:t>Nous vous invitons à</w:t>
      </w:r>
      <w:r w:rsidR="00CC735D">
        <w:rPr>
          <w:b/>
        </w:rPr>
        <w:t xml:space="preserve"> interroger les différentes intercommunales</w:t>
      </w:r>
      <w:r w:rsidR="001818FF">
        <w:rPr>
          <w:b/>
        </w:rPr>
        <w:t>, a.s.b.l.</w:t>
      </w:r>
      <w:r w:rsidR="00AD6EB9">
        <w:rPr>
          <w:b/>
        </w:rPr>
        <w:t xml:space="preserve"> dans lesquelles la commune de Remicourt est représentée,</w:t>
      </w:r>
      <w:r w:rsidR="00CC735D">
        <w:rPr>
          <w:b/>
        </w:rPr>
        <w:t xml:space="preserve"> ainsi que le CPAS</w:t>
      </w:r>
      <w:r>
        <w:rPr>
          <w:b/>
        </w:rPr>
        <w:t xml:space="preserve"> quant aux rémunérations et avantages</w:t>
      </w:r>
      <w:r w:rsidR="001818FF">
        <w:rPr>
          <w:b/>
        </w:rPr>
        <w:t xml:space="preserve"> qu’</w:t>
      </w:r>
      <w:r w:rsidR="00DA0BC1">
        <w:rPr>
          <w:b/>
        </w:rPr>
        <w:t>ils attribu</w:t>
      </w:r>
      <w:r w:rsidR="002D02D1">
        <w:rPr>
          <w:b/>
        </w:rPr>
        <w:t>ent. À cette fin, v</w:t>
      </w:r>
      <w:r w:rsidR="00AD6EB9">
        <w:rPr>
          <w:b/>
        </w:rPr>
        <w:t>oici la liste de ces dernières.</w:t>
      </w:r>
    </w:p>
    <w:p w:rsidR="00CC735D" w:rsidRDefault="00CC735D" w:rsidP="00916D85">
      <w:pPr>
        <w:pStyle w:val="NormalWeb"/>
        <w:rPr>
          <w:b/>
        </w:rPr>
      </w:pPr>
      <w:r>
        <w:rPr>
          <w:b/>
        </w:rPr>
        <w:t>NEOMANSIO</w:t>
      </w:r>
      <w:r w:rsidR="001818FF">
        <w:rPr>
          <w:b/>
        </w:rPr>
        <w:t xml:space="preserve">                                                             SPI+</w:t>
      </w:r>
    </w:p>
    <w:p w:rsidR="00CC735D" w:rsidRDefault="00CC735D" w:rsidP="00916D85">
      <w:pPr>
        <w:pStyle w:val="NormalWeb"/>
        <w:rPr>
          <w:b/>
        </w:rPr>
      </w:pPr>
      <w:r>
        <w:rPr>
          <w:b/>
        </w:rPr>
        <w:t>A I D E</w:t>
      </w:r>
      <w:r w:rsidR="001818FF">
        <w:rPr>
          <w:b/>
        </w:rPr>
        <w:t xml:space="preserve">                                                                         SWDE</w:t>
      </w:r>
    </w:p>
    <w:p w:rsidR="001818FF" w:rsidRDefault="001818FF" w:rsidP="00916D85">
      <w:pPr>
        <w:pStyle w:val="NormalWeb"/>
        <w:rPr>
          <w:b/>
        </w:rPr>
      </w:pPr>
      <w:r>
        <w:rPr>
          <w:b/>
        </w:rPr>
        <w:t xml:space="preserve">CONTRAT DE </w:t>
      </w:r>
      <w:r w:rsidR="00655743">
        <w:rPr>
          <w:b/>
        </w:rPr>
        <w:t>RIVIÈRE</w:t>
      </w:r>
      <w:r>
        <w:rPr>
          <w:b/>
        </w:rPr>
        <w:t xml:space="preserve"> MEUSE-AVAL             UVCW</w:t>
      </w:r>
    </w:p>
    <w:p w:rsidR="001818FF" w:rsidRDefault="001818FF" w:rsidP="00916D85">
      <w:pPr>
        <w:pStyle w:val="NormalWeb"/>
        <w:rPr>
          <w:b/>
        </w:rPr>
      </w:pPr>
      <w:r>
        <w:rPr>
          <w:b/>
        </w:rPr>
        <w:t>HOME WAREMMIEN                                             A.I.S.BAYE</w:t>
      </w:r>
    </w:p>
    <w:p w:rsidR="001818FF" w:rsidRDefault="001818FF" w:rsidP="00916D85">
      <w:pPr>
        <w:pStyle w:val="NormalWeb"/>
        <w:rPr>
          <w:b/>
        </w:rPr>
      </w:pPr>
      <w:r>
        <w:rPr>
          <w:b/>
        </w:rPr>
        <w:t>INTRADEL                                                                TERRE ET FOYER</w:t>
      </w:r>
    </w:p>
    <w:p w:rsidR="001818FF" w:rsidRDefault="001818FF" w:rsidP="00916D85">
      <w:pPr>
        <w:pStyle w:val="NormalWeb"/>
        <w:rPr>
          <w:b/>
        </w:rPr>
      </w:pPr>
      <w:r>
        <w:rPr>
          <w:b/>
        </w:rPr>
        <w:t>MAISON DU TOURISME                                       TECTEO</w:t>
      </w:r>
    </w:p>
    <w:p w:rsidR="001818FF" w:rsidRDefault="00655743" w:rsidP="00916D85">
      <w:pPr>
        <w:pStyle w:val="NormalWeb"/>
        <w:rPr>
          <w:b/>
        </w:rPr>
      </w:pPr>
      <w:r>
        <w:rPr>
          <w:b/>
        </w:rPr>
        <w:t>CONFÉRENCE</w:t>
      </w:r>
      <w:r w:rsidR="001818FF">
        <w:rPr>
          <w:b/>
        </w:rPr>
        <w:t xml:space="preserve"> DES </w:t>
      </w:r>
      <w:r>
        <w:rPr>
          <w:b/>
        </w:rPr>
        <w:t>ÉLUS</w:t>
      </w:r>
      <w:r w:rsidR="001818FF">
        <w:rPr>
          <w:b/>
        </w:rPr>
        <w:t xml:space="preserve">                                     SWDE</w:t>
      </w:r>
    </w:p>
    <w:p w:rsidR="001818FF" w:rsidRDefault="001818FF" w:rsidP="00916D85">
      <w:pPr>
        <w:pStyle w:val="NormalWeb"/>
        <w:rPr>
          <w:b/>
        </w:rPr>
      </w:pPr>
      <w:r>
        <w:rPr>
          <w:b/>
        </w:rPr>
        <w:t>IMIO</w:t>
      </w:r>
    </w:p>
    <w:p w:rsidR="001818FF" w:rsidRDefault="00BD05CC" w:rsidP="00916D85">
      <w:pPr>
        <w:pStyle w:val="NormalWeb"/>
        <w:rPr>
          <w:b/>
        </w:rPr>
      </w:pPr>
      <w:r>
        <w:rPr>
          <w:b/>
        </w:rPr>
        <w:t>Nous vous souhaitons excellente réception de tous ces renseignements et vous assurons, Monsieur Carlens de notre parfaite considération.</w:t>
      </w:r>
    </w:p>
    <w:p w:rsidR="001818FF" w:rsidRDefault="001818FF" w:rsidP="00916D85">
      <w:pPr>
        <w:pStyle w:val="NormalWeb"/>
        <w:rPr>
          <w:b/>
        </w:rPr>
      </w:pPr>
    </w:p>
    <w:p w:rsidR="00CC735D" w:rsidRDefault="00CC735D" w:rsidP="00916D85">
      <w:pPr>
        <w:pStyle w:val="NormalWeb"/>
        <w:rPr>
          <w:b/>
        </w:rPr>
      </w:pPr>
    </w:p>
    <w:p w:rsidR="00CC735D" w:rsidRDefault="00CC735D" w:rsidP="00916D85">
      <w:pPr>
        <w:pStyle w:val="NormalWeb"/>
        <w:rPr>
          <w:b/>
        </w:rPr>
      </w:pPr>
    </w:p>
    <w:p w:rsidR="00FB72DB" w:rsidRPr="00FB72DB" w:rsidRDefault="00FB72DB" w:rsidP="00916D85">
      <w:pPr>
        <w:pStyle w:val="NormalWeb"/>
        <w:rPr>
          <w:b/>
        </w:rPr>
      </w:pPr>
    </w:p>
    <w:p w:rsidR="006205D6" w:rsidRDefault="006205D6" w:rsidP="001305F5">
      <w:pPr>
        <w:pStyle w:val="NormalWeb"/>
      </w:pPr>
    </w:p>
    <w:p w:rsidR="007E6F15" w:rsidRPr="007E6F15" w:rsidRDefault="007E6F15" w:rsidP="007E6F15"/>
    <w:sectPr w:rsidR="007E6F15" w:rsidRPr="007E6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7401"/>
    <w:multiLevelType w:val="multilevel"/>
    <w:tmpl w:val="16C2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05565"/>
    <w:multiLevelType w:val="multilevel"/>
    <w:tmpl w:val="A15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C3"/>
    <w:rsid w:val="001305F5"/>
    <w:rsid w:val="00165F42"/>
    <w:rsid w:val="001818FF"/>
    <w:rsid w:val="002D02D1"/>
    <w:rsid w:val="003043E9"/>
    <w:rsid w:val="00597841"/>
    <w:rsid w:val="005E4AF9"/>
    <w:rsid w:val="006205D6"/>
    <w:rsid w:val="00655743"/>
    <w:rsid w:val="006A1AC3"/>
    <w:rsid w:val="007E6F15"/>
    <w:rsid w:val="00837F61"/>
    <w:rsid w:val="00916D85"/>
    <w:rsid w:val="00AD6EB9"/>
    <w:rsid w:val="00BD05CC"/>
    <w:rsid w:val="00CB68C5"/>
    <w:rsid w:val="00CC735D"/>
    <w:rsid w:val="00DA0BC1"/>
    <w:rsid w:val="00FB72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E6F1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E6F15"/>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7E6F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E6F15"/>
    <w:rPr>
      <w:color w:val="0000FF"/>
      <w:u w:val="single"/>
    </w:rPr>
  </w:style>
  <w:style w:type="character" w:styleId="Accentuation">
    <w:name w:val="Emphasis"/>
    <w:basedOn w:val="Policepardfaut"/>
    <w:uiPriority w:val="20"/>
    <w:qFormat/>
    <w:rsid w:val="007E6F15"/>
    <w:rPr>
      <w:i/>
      <w:iCs/>
    </w:rPr>
  </w:style>
  <w:style w:type="character" w:styleId="lev">
    <w:name w:val="Strong"/>
    <w:basedOn w:val="Policepardfaut"/>
    <w:uiPriority w:val="22"/>
    <w:qFormat/>
    <w:rsid w:val="001305F5"/>
    <w:rPr>
      <w:b/>
      <w:bCs/>
    </w:rPr>
  </w:style>
  <w:style w:type="paragraph" w:styleId="Textedebulles">
    <w:name w:val="Balloon Text"/>
    <w:basedOn w:val="Normal"/>
    <w:link w:val="TextedebullesCar"/>
    <w:uiPriority w:val="99"/>
    <w:semiHidden/>
    <w:unhideWhenUsed/>
    <w:rsid w:val="002D02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0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E6F1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E6F15"/>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7E6F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E6F15"/>
    <w:rPr>
      <w:color w:val="0000FF"/>
      <w:u w:val="single"/>
    </w:rPr>
  </w:style>
  <w:style w:type="character" w:styleId="Accentuation">
    <w:name w:val="Emphasis"/>
    <w:basedOn w:val="Policepardfaut"/>
    <w:uiPriority w:val="20"/>
    <w:qFormat/>
    <w:rsid w:val="007E6F15"/>
    <w:rPr>
      <w:i/>
      <w:iCs/>
    </w:rPr>
  </w:style>
  <w:style w:type="character" w:styleId="lev">
    <w:name w:val="Strong"/>
    <w:basedOn w:val="Policepardfaut"/>
    <w:uiPriority w:val="22"/>
    <w:qFormat/>
    <w:rsid w:val="001305F5"/>
    <w:rPr>
      <w:b/>
      <w:bCs/>
    </w:rPr>
  </w:style>
  <w:style w:type="paragraph" w:styleId="Textedebulles">
    <w:name w:val="Balloon Text"/>
    <w:basedOn w:val="Normal"/>
    <w:link w:val="TextedebullesCar"/>
    <w:uiPriority w:val="99"/>
    <w:semiHidden/>
    <w:unhideWhenUsed/>
    <w:rsid w:val="002D02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0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113">
      <w:bodyDiv w:val="1"/>
      <w:marLeft w:val="0"/>
      <w:marRight w:val="0"/>
      <w:marTop w:val="0"/>
      <w:marBottom w:val="0"/>
      <w:divBdr>
        <w:top w:val="none" w:sz="0" w:space="0" w:color="auto"/>
        <w:left w:val="none" w:sz="0" w:space="0" w:color="auto"/>
        <w:bottom w:val="none" w:sz="0" w:space="0" w:color="auto"/>
        <w:right w:val="none" w:sz="0" w:space="0" w:color="auto"/>
      </w:divBdr>
    </w:div>
    <w:div w:id="462696967">
      <w:bodyDiv w:val="1"/>
      <w:marLeft w:val="0"/>
      <w:marRight w:val="0"/>
      <w:marTop w:val="0"/>
      <w:marBottom w:val="0"/>
      <w:divBdr>
        <w:top w:val="none" w:sz="0" w:space="0" w:color="auto"/>
        <w:left w:val="none" w:sz="0" w:space="0" w:color="auto"/>
        <w:bottom w:val="none" w:sz="0" w:space="0" w:color="auto"/>
        <w:right w:val="none" w:sz="0" w:space="0" w:color="auto"/>
      </w:divBdr>
      <w:divsChild>
        <w:div w:id="810832852">
          <w:marLeft w:val="0"/>
          <w:marRight w:val="0"/>
          <w:marTop w:val="0"/>
          <w:marBottom w:val="0"/>
          <w:divBdr>
            <w:top w:val="none" w:sz="0" w:space="0" w:color="auto"/>
            <w:left w:val="none" w:sz="0" w:space="0" w:color="auto"/>
            <w:bottom w:val="none" w:sz="0" w:space="0" w:color="auto"/>
            <w:right w:val="none" w:sz="0" w:space="0" w:color="auto"/>
          </w:divBdr>
        </w:div>
      </w:divsChild>
    </w:div>
    <w:div w:id="1698190817">
      <w:bodyDiv w:val="1"/>
      <w:marLeft w:val="0"/>
      <w:marRight w:val="0"/>
      <w:marTop w:val="0"/>
      <w:marBottom w:val="0"/>
      <w:divBdr>
        <w:top w:val="none" w:sz="0" w:space="0" w:color="auto"/>
        <w:left w:val="none" w:sz="0" w:space="0" w:color="auto"/>
        <w:bottom w:val="none" w:sz="0" w:space="0" w:color="auto"/>
        <w:right w:val="none" w:sz="0" w:space="0" w:color="auto"/>
      </w:divBdr>
      <w:divsChild>
        <w:div w:id="66062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cw.be/articles/3,17,2,0,2147.htm" TargetMode="External"/><Relationship Id="rId13" Type="http://schemas.openxmlformats.org/officeDocument/2006/relationships/hyperlink" Target="http://www.uvcw.be/javascript/jquery-tooltip/ajax.cfm?width=425&amp;idAcronyme=32" TargetMode="External"/><Relationship Id="rId18" Type="http://schemas.openxmlformats.org/officeDocument/2006/relationships/hyperlink" Target="http://www.uvcw.be/articles/3,17,2,0,2147.htm" TargetMode="External"/><Relationship Id="rId3" Type="http://schemas.microsoft.com/office/2007/relationships/stylesWithEffects" Target="stylesWithEffects.xml"/><Relationship Id="rId7" Type="http://schemas.openxmlformats.org/officeDocument/2006/relationships/hyperlink" Target="http://www.uvcw.be/articles/3,17,2,0,2147.htm" TargetMode="External"/><Relationship Id="rId12" Type="http://schemas.openxmlformats.org/officeDocument/2006/relationships/hyperlink" Target="http://www.uvcw.be/articles/3,17,2,0,2147.htm" TargetMode="External"/><Relationship Id="rId17" Type="http://schemas.openxmlformats.org/officeDocument/2006/relationships/hyperlink" Target="http://www.uvcw.be/articles/3,17,2,0,2147.htm" TargetMode="External"/><Relationship Id="rId2" Type="http://schemas.openxmlformats.org/officeDocument/2006/relationships/styles" Target="styles.xml"/><Relationship Id="rId16" Type="http://schemas.openxmlformats.org/officeDocument/2006/relationships/hyperlink" Target="http://www.uvcw.be/articles/3,17,2,0,2147.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vcw.be/articles/3,17,2,0,7595.htm" TargetMode="External"/><Relationship Id="rId11" Type="http://schemas.openxmlformats.org/officeDocument/2006/relationships/hyperlink" Target="http://www.uvcw.be/articles/3,17,2,0,2147.htm" TargetMode="External"/><Relationship Id="rId5" Type="http://schemas.openxmlformats.org/officeDocument/2006/relationships/webSettings" Target="webSettings.xml"/><Relationship Id="rId15" Type="http://schemas.openxmlformats.org/officeDocument/2006/relationships/hyperlink" Target="http://www.uvcw.be/articles/3,17,2,0,2147.htm" TargetMode="External"/><Relationship Id="rId10" Type="http://schemas.openxmlformats.org/officeDocument/2006/relationships/hyperlink" Target="http://www.uvcw.be/articles/3,17,2,0,2147.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cw.be/articles/3,17,2,0,2147.htm" TargetMode="External"/><Relationship Id="rId14" Type="http://schemas.openxmlformats.org/officeDocument/2006/relationships/hyperlink" Target="http://www.uvcw.be/articles/3,17,2,0,2147.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6802</Words>
  <Characters>37411</Characters>
  <Application>Microsoft Office Word</Application>
  <DocSecurity>0</DocSecurity>
  <Lines>311</Lines>
  <Paragraphs>88</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        Monsieur Carlens, </vt:lpstr>
      <vt:lpstr>        Nous accusons bonne réception de votre demande et vous adressons un récapitulati</vt:lpstr>
      <vt:lpstr>        1. Les principes de fixation</vt:lpstr>
      <vt:lpstr>        2. La rétribution maximale des mandataires locaux</vt:lpstr>
      <vt:lpstr>        </vt:lpstr>
      <vt:lpstr>        3. Le droit au traitement, la renonciation et la demande de compensation</vt:lpstr>
      <vt:lpstr>        4. Le remboursement de frais</vt:lpstr>
      <vt:lpstr>        1. Les principes d'octroi des jetons de présence</vt:lpstr>
      <vt:lpstr>        2. Le statut fiscal des jetons de présence</vt:lpstr>
    </vt:vector>
  </TitlesOfParts>
  <Company/>
  <LinksUpToDate>false</LinksUpToDate>
  <CharactersWithSpaces>44125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Gelaesen</dc:creator>
  <cp:lastModifiedBy>Pol Gelaesen</cp:lastModifiedBy>
  <cp:revision>9</cp:revision>
  <cp:lastPrinted>2019-01-16T14:17:00Z</cp:lastPrinted>
  <dcterms:created xsi:type="dcterms:W3CDTF">2019-01-16T12:18:00Z</dcterms:created>
  <dcterms:modified xsi:type="dcterms:W3CDTF">2019-01-16T14:53:00Z</dcterms:modified>
</cp:coreProperties>
</file>